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15A2B9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45EC8A4" w:rsidR="00E66558" w:rsidRDefault="009D71E8">
      <w:pPr>
        <w:pStyle w:val="Heading2"/>
        <w:rPr>
          <w:b w:val="0"/>
          <w:bCs/>
          <w:color w:val="auto"/>
          <w:sz w:val="24"/>
          <w:szCs w:val="24"/>
        </w:rPr>
      </w:pPr>
      <w:r>
        <w:rPr>
          <w:b w:val="0"/>
          <w:bCs/>
          <w:color w:val="auto"/>
          <w:sz w:val="24"/>
          <w:szCs w:val="24"/>
        </w:rPr>
        <w:t>This statement details our school’s use of pupil premium (a</w:t>
      </w:r>
      <w:r w:rsidR="00E6761C">
        <w:rPr>
          <w:b w:val="0"/>
          <w:bCs/>
          <w:color w:val="auto"/>
          <w:sz w:val="24"/>
          <w:szCs w:val="24"/>
        </w:rPr>
        <w:t>nd recovery premium for the 2022 to 2023</w:t>
      </w:r>
      <w:bookmarkStart w:id="14" w:name="_GoBack"/>
      <w:bookmarkEnd w:id="14"/>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15B4C69" w:rsidR="00E66558" w:rsidRDefault="006A7707">
            <w:pPr>
              <w:pStyle w:val="TableRow"/>
            </w:pPr>
            <w:r>
              <w:t>Fakenham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AE20C1C" w:rsidR="00E66558" w:rsidRDefault="00407463">
            <w:pPr>
              <w:pStyle w:val="TableRow"/>
            </w:pPr>
            <w:r>
              <w:t>651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A79C903" w:rsidR="00E66558" w:rsidRDefault="006A7707">
            <w:pPr>
              <w:pStyle w:val="TableRow"/>
            </w:pPr>
            <w:r>
              <w:t>26%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28D11F4" w:rsidR="00E66558" w:rsidRDefault="00CD4297">
            <w:pPr>
              <w:pStyle w:val="TableRow"/>
            </w:pPr>
            <w:r>
              <w:t>3 Year Plan</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514688A" w:rsidR="00E66558" w:rsidRDefault="006A7707">
            <w:pPr>
              <w:pStyle w:val="TableRow"/>
            </w:pPr>
            <w:r>
              <w:t>1</w:t>
            </w:r>
            <w:r w:rsidRPr="006A7707">
              <w:rPr>
                <w:vertAlign w:val="superscript"/>
              </w:rPr>
              <w:t>st</w:t>
            </w:r>
            <w:r>
              <w:t xml:space="preserve"> November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C152E24" w:rsidR="00E66558" w:rsidRDefault="006A7707">
            <w:pPr>
              <w:pStyle w:val="TableRow"/>
            </w:pPr>
            <w:r>
              <w:t xml:space="preserve">Termly </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12F624D" w:rsidR="00E66558" w:rsidRDefault="00744FB7">
            <w:pPr>
              <w:pStyle w:val="TableRow"/>
            </w:pPr>
            <w:r>
              <w:t xml:space="preserve">Mr Gavin Green </w:t>
            </w:r>
            <w:r w:rsidR="006A7707">
              <w:t xml:space="preserve">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2BD0F90" w:rsidR="00E66558" w:rsidRDefault="006A7707">
            <w:pPr>
              <w:pStyle w:val="TableRow"/>
            </w:pPr>
            <w:r>
              <w:t>Mr Gavin Green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F4873B7" w:rsidR="00E66558" w:rsidRDefault="007E202C">
            <w:pPr>
              <w:pStyle w:val="TableRow"/>
            </w:pPr>
            <w:r>
              <w:t>Mr Tim Stevens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842D730" w:rsidR="00E66558" w:rsidRDefault="009D71E8">
            <w:pPr>
              <w:pStyle w:val="TableRow"/>
            </w:pPr>
            <w:r>
              <w:t>£</w:t>
            </w:r>
            <w:r w:rsidR="006A7707">
              <w:t xml:space="preserve"> 170, 398</w:t>
            </w:r>
            <w:r w:rsidR="00EC6B2F">
              <w:t xml:space="preserve"> (2021-2022) £161, 333 (2022 -2023)</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FAD74FF" w:rsidR="00E66558" w:rsidRDefault="009D71E8">
            <w:pPr>
              <w:pStyle w:val="TableRow"/>
            </w:pPr>
            <w:r>
              <w:t>£</w:t>
            </w:r>
            <w:r w:rsidR="004A5AE8">
              <w:t xml:space="preserve"> 24, 723</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F90E074" w:rsidR="00E66558" w:rsidRDefault="009D71E8">
            <w:pPr>
              <w:pStyle w:val="TableRow"/>
            </w:pPr>
            <w:r>
              <w:t>£</w:t>
            </w:r>
            <w:r w:rsidR="004A5AE8">
              <w:t xml:space="preserve"> </w:t>
            </w:r>
            <w:r w:rsidR="005F5FD8">
              <w:t>1,662</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5493" w14:textId="77777777" w:rsidR="00E66558" w:rsidRDefault="009D71E8">
            <w:pPr>
              <w:pStyle w:val="TableRow"/>
            </w:pPr>
            <w:r>
              <w:t>£</w:t>
            </w:r>
            <w:r w:rsidR="005F5FD8">
              <w:t>196,783</w:t>
            </w:r>
            <w:r w:rsidR="00EC6B2F">
              <w:t xml:space="preserve"> (2021-2022)</w:t>
            </w:r>
          </w:p>
          <w:p w14:paraId="2A7D54E2" w14:textId="1672419B" w:rsidR="00EC6B2F" w:rsidRDefault="00EC6B2F">
            <w:pPr>
              <w:pStyle w:val="TableRow"/>
            </w:pPr>
            <w:r>
              <w:t>£186,056 (2022-2023)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E03F" w14:textId="604A8AB6" w:rsidR="00744FB7" w:rsidRDefault="00744FB7" w:rsidP="00CD2F88">
            <w:pPr>
              <w:spacing w:before="120"/>
            </w:pPr>
            <w:r>
              <w:t>At Fakenham Academy we believe that all students, regardless of socioeconomic background can make outstanding progress and achieve outstanding personal progress. We set no limits and accept no excuses from any of our pupils</w:t>
            </w:r>
            <w:r w:rsidR="009158E8">
              <w:t>, staff or parents regarding the progress they can make</w:t>
            </w:r>
            <w:r>
              <w:t>.</w:t>
            </w:r>
            <w:r w:rsidR="00CD2F88">
              <w:t xml:space="preserve"> Through robust identification of the barriers to learning and challenges faced by academically vulnerable pupils, we will use this evidence to implement a bespoke programme of support, opportunity and challenge.</w:t>
            </w:r>
          </w:p>
          <w:p w14:paraId="197BF2A0" w14:textId="20472EE5" w:rsidR="00CD2F88" w:rsidRDefault="00CD2F88">
            <w:pPr>
              <w:spacing w:before="120"/>
            </w:pPr>
            <w:r>
              <w:t xml:space="preserve">Our decisions around allocating the Pupil Premium Grant are influenced by several sources, most markedly the Education Endowment Foundation (EEF) Teaching and Learning Toolkit. Teaching and Learning Toolkit | EEF </w:t>
            </w:r>
            <w:hyperlink r:id="rId7" w:history="1">
              <w:r w:rsidRPr="00F91F4A">
                <w:rPr>
                  <w:rStyle w:val="Hyperlink"/>
                </w:rPr>
                <w:t>https://educationendowmentfoundation.org.uk/education-evidence/teaching-learning-toolkit</w:t>
              </w:r>
            </w:hyperlink>
            <w:r>
              <w:t xml:space="preserve"> </w:t>
            </w:r>
          </w:p>
          <w:p w14:paraId="2A39182A" w14:textId="5E067ACC" w:rsidR="00744FB7" w:rsidRDefault="00744FB7">
            <w:pPr>
              <w:spacing w:before="120"/>
            </w:pPr>
            <w:r>
              <w:t>Througho</w:t>
            </w:r>
            <w:r w:rsidR="004E3403">
              <w:t xml:space="preserve">ut our approach </w:t>
            </w:r>
            <w:r>
              <w:t>will utilise a</w:t>
            </w:r>
            <w:r w:rsidR="004E3403">
              <w:t xml:space="preserve"> range of strategies that focus on raising </w:t>
            </w:r>
            <w:r w:rsidR="00B30F92">
              <w:t xml:space="preserve">achievement but will focus on 5 core elements including: </w:t>
            </w:r>
          </w:p>
          <w:p w14:paraId="39A1BE8C" w14:textId="3933D902" w:rsidR="00B30F92" w:rsidRDefault="00B30F92" w:rsidP="00B30F92">
            <w:pPr>
              <w:pStyle w:val="ListParagraph"/>
              <w:numPr>
                <w:ilvl w:val="0"/>
                <w:numId w:val="14"/>
              </w:numPr>
              <w:spacing w:before="120"/>
            </w:pPr>
            <w:r>
              <w:t xml:space="preserve">Achievement </w:t>
            </w:r>
          </w:p>
          <w:p w14:paraId="1518E397" w14:textId="1D28604E" w:rsidR="00B30F92" w:rsidRDefault="00B30F92" w:rsidP="00B30F92">
            <w:pPr>
              <w:pStyle w:val="ListParagraph"/>
              <w:numPr>
                <w:ilvl w:val="0"/>
                <w:numId w:val="14"/>
              </w:numPr>
              <w:spacing w:before="120"/>
            </w:pPr>
            <w:r>
              <w:t xml:space="preserve">High Quality Teaching and Learning </w:t>
            </w:r>
          </w:p>
          <w:p w14:paraId="31034E61" w14:textId="7C26B8B3" w:rsidR="00B30F92" w:rsidRDefault="00B30F92" w:rsidP="00B30F92">
            <w:pPr>
              <w:pStyle w:val="ListParagraph"/>
              <w:numPr>
                <w:ilvl w:val="0"/>
                <w:numId w:val="14"/>
              </w:numPr>
              <w:spacing w:before="120"/>
            </w:pPr>
            <w:r>
              <w:t xml:space="preserve">Attendance and Aspiration </w:t>
            </w:r>
          </w:p>
          <w:p w14:paraId="1F748919" w14:textId="3F6C2BFF" w:rsidR="00B30F92" w:rsidRDefault="00B30F92" w:rsidP="00B30F92">
            <w:pPr>
              <w:pStyle w:val="ListParagraph"/>
              <w:numPr>
                <w:ilvl w:val="0"/>
                <w:numId w:val="14"/>
              </w:numPr>
              <w:spacing w:before="120"/>
            </w:pPr>
            <w:r>
              <w:t xml:space="preserve">Literacy </w:t>
            </w:r>
          </w:p>
          <w:p w14:paraId="33E0AB48" w14:textId="27EC60FB" w:rsidR="00B30F92" w:rsidRDefault="00B30F92" w:rsidP="00B30F92">
            <w:pPr>
              <w:pStyle w:val="ListParagraph"/>
              <w:numPr>
                <w:ilvl w:val="0"/>
                <w:numId w:val="14"/>
              </w:numPr>
              <w:spacing w:before="120"/>
            </w:pPr>
            <w:r>
              <w:t xml:space="preserve">Wellbeing and Mental Health </w:t>
            </w:r>
          </w:p>
          <w:p w14:paraId="6BE468E5" w14:textId="6F3F8C3E" w:rsidR="00CD2F88" w:rsidRDefault="00CD2F88">
            <w:pPr>
              <w:spacing w:before="120"/>
            </w:pPr>
            <w:r>
              <w:t>We will deliver high-quality teaching for all pupils and differentiate to ensure all pupils are challenged and stimulated. Subject knowledge and academic performance will be challenged in all Fakenham pupils. It is the intention that all pupils’ attainment will be sustained and improved; all pupils will achieve high attainment across a broad and effective curriculum. Pastoral teams will support disadvantaged students to ensure there is effective acknowledgement of external factors and that personal strength and achievement are celebrated. Subject staff will ensure that gaps in learning arising because of historic underachievement are closed.</w:t>
            </w:r>
          </w:p>
          <w:p w14:paraId="2DDD6972" w14:textId="171350D5" w:rsidR="00744FB7" w:rsidRDefault="004E3403">
            <w:pPr>
              <w:spacing w:before="120"/>
            </w:pPr>
            <w:r>
              <w:t>Curriculum Leadership will support subject knowledge development. Student progress will be regularly reviewed and the curriculum adapted to ensure that students vulnerable to academic disadvantage are achieving in line with their peers. The curriculum will be sequenced effectively and medium-term plans will highlight areas for common misconception to ensure consistency.</w:t>
            </w:r>
          </w:p>
          <w:p w14:paraId="4021A46D" w14:textId="7258FB79" w:rsidR="00744FB7" w:rsidRDefault="00744FB7">
            <w:pPr>
              <w:spacing w:before="120"/>
            </w:pPr>
            <w:r>
              <w:lastRenderedPageBreak/>
              <w:t>Our strategy is also integral to wider school plans for education recovery. We will run the National Tutoring Programme for pupils whose education has been worst affected, including non-disadvantaged pupils.</w:t>
            </w:r>
          </w:p>
          <w:p w14:paraId="2A7D54E9" w14:textId="418AFA95" w:rsidR="00E66558" w:rsidRPr="007C26BF" w:rsidRDefault="00744FB7" w:rsidP="007C26BF">
            <w:pPr>
              <w:spacing w:before="120"/>
              <w:rPr>
                <w:iCs/>
              </w:rPr>
            </w:pPr>
            <w:r>
              <w:t>Our strategies to ensure disadvantage students succeed personally and academically complement each other. As a whole school we will ensu</w:t>
            </w:r>
            <w:r w:rsidR="004E3403">
              <w:t xml:space="preserve">re all students are </w:t>
            </w:r>
            <w:r w:rsidR="00B30F92">
              <w:t>challenged and</w:t>
            </w:r>
            <w:r>
              <w:t xml:space="preserve"> we will monitor and identify the needs of individual students. By adopting a whole school approach, all staff will take accountability for disadvantaged students’ outcomes and staff will feel supported in this role with the facilitation that takes place with these students.</w:t>
            </w:r>
          </w:p>
        </w:tc>
      </w:tr>
    </w:tbl>
    <w:p w14:paraId="2A7D54EB" w14:textId="0D45FB86"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72D" w14:textId="77777777" w:rsidR="00E66558" w:rsidRDefault="00C93FCC" w:rsidP="00C93FCC">
            <w:pPr>
              <w:pStyle w:val="TableRowCentered"/>
              <w:ind w:left="0"/>
              <w:jc w:val="left"/>
              <w:rPr>
                <w:b/>
                <w:iCs/>
                <w:sz w:val="22"/>
                <w:szCs w:val="22"/>
              </w:rPr>
            </w:pPr>
            <w:r w:rsidRPr="00F5114E">
              <w:rPr>
                <w:b/>
                <w:iCs/>
                <w:sz w:val="22"/>
                <w:szCs w:val="22"/>
              </w:rPr>
              <w:t>Academic Achievement</w:t>
            </w:r>
          </w:p>
          <w:p w14:paraId="59C4BFBB" w14:textId="13AAFFAA" w:rsidR="00F5114E" w:rsidRDefault="00252F9E" w:rsidP="00C93FCC">
            <w:pPr>
              <w:pStyle w:val="TableRowCentered"/>
              <w:ind w:left="0"/>
              <w:jc w:val="left"/>
            </w:pPr>
            <w:r>
              <w:t xml:space="preserve">Disadvantaged pupils in every year group show evidence of reduced progress in curriculum outcomes compared to their non-disadvantaged, either because of engagement during successive lockdowns or historic underperformance meaning gaps in knowledge persist. </w:t>
            </w:r>
            <w:r w:rsidR="00EC6B2F">
              <w:t>In 2021-2022 academic achievement for PP pupils was below national and overall a progress score of -0.97)</w:t>
            </w:r>
          </w:p>
          <w:p w14:paraId="2A7D54F1" w14:textId="09CB5D3E" w:rsidR="00252F9E" w:rsidRPr="00F5114E" w:rsidRDefault="00252F9E" w:rsidP="00C93FCC">
            <w:pPr>
              <w:pStyle w:val="TableRowCentered"/>
              <w:ind w:left="0"/>
              <w:jc w:val="left"/>
              <w:rPr>
                <w:b/>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ACE92" w14:textId="77777777" w:rsidR="00E66558" w:rsidRPr="00252F9E" w:rsidRDefault="00C93FCC" w:rsidP="00C93FCC">
            <w:pPr>
              <w:pStyle w:val="TableRowCentered"/>
              <w:ind w:left="0"/>
              <w:jc w:val="left"/>
              <w:rPr>
                <w:b/>
                <w:szCs w:val="24"/>
              </w:rPr>
            </w:pPr>
            <w:r w:rsidRPr="00252F9E">
              <w:rPr>
                <w:b/>
                <w:szCs w:val="24"/>
              </w:rPr>
              <w:t>High Quality Teaching and Learning</w:t>
            </w:r>
          </w:p>
          <w:p w14:paraId="1E849538" w14:textId="77777777" w:rsidR="00F5114E" w:rsidRDefault="00252F9E" w:rsidP="00C93FCC">
            <w:pPr>
              <w:pStyle w:val="TableRowCentered"/>
              <w:ind w:left="0"/>
              <w:jc w:val="left"/>
              <w:rPr>
                <w:sz w:val="22"/>
                <w:szCs w:val="22"/>
              </w:rPr>
            </w:pPr>
            <w:r w:rsidRPr="00252F9E">
              <w:rPr>
                <w:szCs w:val="24"/>
              </w:rPr>
              <w:t>High quality teaching is the greatest factor in ensuring that our most vulnerable pupils make progress. Ensuring that staff have the most up to date CPD and pedagogy to support all pupils but particularly our most vulnerable.</w:t>
            </w:r>
          </w:p>
          <w:p w14:paraId="2A7D54F4" w14:textId="074C8B31" w:rsidR="00EC6B2F" w:rsidRPr="00252F9E" w:rsidRDefault="00EC6B2F" w:rsidP="00C93FCC">
            <w:pPr>
              <w:pStyle w:val="TableRowCentered"/>
              <w:ind w:left="0"/>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0DA2" w14:textId="6370D115" w:rsidR="00E66558" w:rsidRPr="00252F9E" w:rsidRDefault="00C93FCC" w:rsidP="00C93FCC">
            <w:pPr>
              <w:pStyle w:val="TableRowCentered"/>
              <w:ind w:left="0"/>
              <w:jc w:val="left"/>
              <w:rPr>
                <w:b/>
                <w:szCs w:val="24"/>
              </w:rPr>
            </w:pPr>
            <w:r w:rsidRPr="00252F9E">
              <w:rPr>
                <w:b/>
                <w:szCs w:val="24"/>
              </w:rPr>
              <w:t>Attendance and Aspiration</w:t>
            </w:r>
          </w:p>
          <w:p w14:paraId="7A120557" w14:textId="77777777" w:rsidR="00AA0232" w:rsidRPr="00252F9E" w:rsidRDefault="00AA0232" w:rsidP="00C93FCC">
            <w:pPr>
              <w:pStyle w:val="TableRowCentered"/>
              <w:ind w:left="0"/>
              <w:jc w:val="left"/>
              <w:rPr>
                <w:b/>
                <w:szCs w:val="24"/>
              </w:rPr>
            </w:pPr>
          </w:p>
          <w:p w14:paraId="4AA73D2B" w14:textId="295E45EF" w:rsidR="003427FA" w:rsidRPr="00252F9E" w:rsidRDefault="00AA0232" w:rsidP="00F5114E">
            <w:pPr>
              <w:pStyle w:val="TableRowCentered"/>
              <w:ind w:left="0"/>
              <w:jc w:val="left"/>
              <w:rPr>
                <w:szCs w:val="24"/>
              </w:rPr>
            </w:pPr>
            <w:r w:rsidRPr="00252F9E">
              <w:rPr>
                <w:b/>
                <w:szCs w:val="24"/>
              </w:rPr>
              <w:t>Attendance</w:t>
            </w:r>
            <w:r w:rsidRPr="00252F9E">
              <w:rPr>
                <w:szCs w:val="24"/>
              </w:rPr>
              <w:t xml:space="preserve"> - </w:t>
            </w:r>
            <w:r w:rsidR="003427FA" w:rsidRPr="00252F9E">
              <w:rPr>
                <w:szCs w:val="24"/>
              </w:rPr>
              <w:t>Attendance at school vulnerable pupils have been particularly affected by the lockdown and</w:t>
            </w:r>
            <w:r w:rsidR="00F5114E" w:rsidRPr="00252F9E">
              <w:rPr>
                <w:szCs w:val="24"/>
              </w:rPr>
              <w:t xml:space="preserve"> </w:t>
            </w:r>
            <w:r w:rsidR="003427FA" w:rsidRPr="00252F9E">
              <w:rPr>
                <w:szCs w:val="24"/>
              </w:rPr>
              <w:t>subsequent re-engagement with sc</w:t>
            </w:r>
            <w:r w:rsidR="00F5114E" w:rsidRPr="00252F9E">
              <w:rPr>
                <w:szCs w:val="24"/>
              </w:rPr>
              <w:t xml:space="preserve">hool, meaning gaps in attendance </w:t>
            </w:r>
            <w:r w:rsidR="003427FA" w:rsidRPr="00252F9E">
              <w:rPr>
                <w:szCs w:val="24"/>
              </w:rPr>
              <w:t>ha</w:t>
            </w:r>
            <w:r w:rsidR="00F5114E" w:rsidRPr="00252F9E">
              <w:rPr>
                <w:szCs w:val="24"/>
              </w:rPr>
              <w:t xml:space="preserve">ve evident in every year group. </w:t>
            </w:r>
          </w:p>
          <w:p w14:paraId="2B4170FF" w14:textId="77777777" w:rsidR="005C755E" w:rsidRPr="00252F9E" w:rsidRDefault="005C755E" w:rsidP="005C755E">
            <w:pPr>
              <w:pStyle w:val="TableRowCentered"/>
              <w:ind w:left="0"/>
              <w:jc w:val="left"/>
              <w:rPr>
                <w:szCs w:val="24"/>
              </w:rPr>
            </w:pPr>
          </w:p>
          <w:p w14:paraId="7BD86346" w14:textId="23BF4892" w:rsidR="005C755E" w:rsidRPr="00252F9E" w:rsidRDefault="00F5114E" w:rsidP="00C84910">
            <w:pPr>
              <w:pStyle w:val="TableRowCentered"/>
              <w:ind w:left="0"/>
              <w:jc w:val="left"/>
              <w:rPr>
                <w:szCs w:val="24"/>
              </w:rPr>
            </w:pPr>
            <w:r w:rsidRPr="00252F9E">
              <w:rPr>
                <w:szCs w:val="24"/>
              </w:rPr>
              <w:t>Too</w:t>
            </w:r>
            <w:r w:rsidR="005C755E" w:rsidRPr="00252F9E">
              <w:rPr>
                <w:szCs w:val="24"/>
              </w:rPr>
              <w:t xml:space="preserve"> many students in receipt of PP</w:t>
            </w:r>
            <w:r w:rsidRPr="00252F9E">
              <w:rPr>
                <w:szCs w:val="24"/>
              </w:rPr>
              <w:t xml:space="preserve"> have lower at</w:t>
            </w:r>
            <w:r w:rsidR="005C755E" w:rsidRPr="00252F9E">
              <w:rPr>
                <w:szCs w:val="24"/>
              </w:rPr>
              <w:t>tendance than non-PP students</w:t>
            </w:r>
            <w:r w:rsidRPr="00252F9E">
              <w:rPr>
                <w:szCs w:val="24"/>
              </w:rPr>
              <w:t xml:space="preserve">. </w:t>
            </w:r>
            <w:r w:rsidR="00C84910">
              <w:rPr>
                <w:szCs w:val="24"/>
              </w:rPr>
              <w:t xml:space="preserve">Attendance is a key component in ensuring that all pupils make progress.  </w:t>
            </w:r>
          </w:p>
          <w:p w14:paraId="7D630F89" w14:textId="77777777" w:rsidR="00AA0232" w:rsidRPr="00252F9E" w:rsidRDefault="00F5114E" w:rsidP="005C755E">
            <w:pPr>
              <w:pStyle w:val="TableRowCentered"/>
              <w:ind w:left="0"/>
              <w:jc w:val="left"/>
              <w:rPr>
                <w:szCs w:val="24"/>
              </w:rPr>
            </w:pPr>
            <w:r w:rsidRPr="00252F9E">
              <w:rPr>
                <w:szCs w:val="24"/>
              </w:rPr>
              <w:t>Contextual factors, such as medical needs, SEN, parental engagement and safeguarding impact the attendance and aspira</w:t>
            </w:r>
            <w:r w:rsidR="005C755E" w:rsidRPr="00252F9E">
              <w:rPr>
                <w:szCs w:val="24"/>
              </w:rPr>
              <w:t xml:space="preserve">tion at the school but </w:t>
            </w:r>
            <w:r w:rsidR="005C755E" w:rsidRPr="00252F9E">
              <w:rPr>
                <w:szCs w:val="24"/>
              </w:rPr>
              <w:lastRenderedPageBreak/>
              <w:t>these barriers must be minimised moving forward in order to raise achievement and aspirations of these pupils.</w:t>
            </w:r>
          </w:p>
          <w:p w14:paraId="6942F592" w14:textId="77777777" w:rsidR="00AA0232" w:rsidRPr="00252F9E" w:rsidRDefault="00AA0232" w:rsidP="005C755E">
            <w:pPr>
              <w:pStyle w:val="TableRowCentered"/>
              <w:ind w:left="0"/>
              <w:jc w:val="left"/>
              <w:rPr>
                <w:szCs w:val="24"/>
              </w:rPr>
            </w:pPr>
          </w:p>
          <w:p w14:paraId="4BA30125" w14:textId="1EF96BFF" w:rsidR="00F5114E" w:rsidRPr="00252F9E" w:rsidRDefault="00AA0232" w:rsidP="005C755E">
            <w:pPr>
              <w:pStyle w:val="TableRowCentered"/>
              <w:ind w:left="0"/>
              <w:jc w:val="left"/>
              <w:rPr>
                <w:szCs w:val="24"/>
              </w:rPr>
            </w:pPr>
            <w:r w:rsidRPr="00252F9E">
              <w:rPr>
                <w:b/>
                <w:szCs w:val="24"/>
              </w:rPr>
              <w:t>Aspiration</w:t>
            </w:r>
            <w:r w:rsidRPr="00252F9E">
              <w:rPr>
                <w:szCs w:val="24"/>
              </w:rPr>
              <w:t xml:space="preserve"> - Expanding Horizons: some of the pupils benefit enormously from the extra-curricular and enrichment opportunities which the school can offer to raise aspirations, widen their knowledge and enhance their learning.</w:t>
            </w:r>
          </w:p>
          <w:p w14:paraId="61B0CD88" w14:textId="77777777" w:rsidR="002833B3" w:rsidRPr="00252F9E" w:rsidRDefault="002833B3" w:rsidP="005C755E">
            <w:pPr>
              <w:pStyle w:val="TableRowCentered"/>
              <w:ind w:left="0"/>
              <w:jc w:val="left"/>
              <w:rPr>
                <w:szCs w:val="24"/>
              </w:rPr>
            </w:pPr>
          </w:p>
          <w:p w14:paraId="0E519C03" w14:textId="77777777" w:rsidR="005C755E" w:rsidRPr="00252F9E" w:rsidRDefault="002833B3" w:rsidP="005C755E">
            <w:pPr>
              <w:pStyle w:val="TableRowCentered"/>
              <w:ind w:left="0"/>
              <w:jc w:val="left"/>
              <w:rPr>
                <w:szCs w:val="24"/>
              </w:rPr>
            </w:pPr>
            <w:r w:rsidRPr="00252F9E">
              <w:rPr>
                <w:szCs w:val="24"/>
              </w:rPr>
              <w:t>PP students have lower aspirations than non-PP students. PASS data of Year 8, 10 and PPG Year 11 students indicates a trend towards our PPG students holding lower ‘learner self-regard’ than non-PPG students. This is particularly affecting our PPG boys.</w:t>
            </w:r>
          </w:p>
          <w:p w14:paraId="2A7D54F7" w14:textId="56080FC3" w:rsidR="006B0DE6" w:rsidRPr="00252F9E" w:rsidRDefault="006B0DE6" w:rsidP="005C755E">
            <w:pPr>
              <w:pStyle w:val="TableRowCentered"/>
              <w:ind w:left="0"/>
              <w:jc w:val="left"/>
              <w:rPr>
                <w:szCs w:val="24"/>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0F20" w14:textId="7E5274F6" w:rsidR="00E66558" w:rsidRDefault="002833B3" w:rsidP="00C93FCC">
            <w:pPr>
              <w:pStyle w:val="TableRowCentered"/>
              <w:ind w:left="0"/>
              <w:jc w:val="left"/>
              <w:rPr>
                <w:b/>
                <w:iCs/>
                <w:sz w:val="22"/>
              </w:rPr>
            </w:pPr>
            <w:r>
              <w:rPr>
                <w:b/>
                <w:iCs/>
                <w:sz w:val="22"/>
              </w:rPr>
              <w:t xml:space="preserve">Behaviour for Learning </w:t>
            </w:r>
          </w:p>
          <w:p w14:paraId="3C5DF701" w14:textId="69E7EE9A" w:rsidR="002833B3" w:rsidRPr="00252F9E" w:rsidRDefault="002833B3" w:rsidP="00C93FCC">
            <w:pPr>
              <w:pStyle w:val="TableRowCentered"/>
              <w:ind w:left="0"/>
              <w:jc w:val="left"/>
              <w:rPr>
                <w:szCs w:val="22"/>
              </w:rPr>
            </w:pPr>
            <w:r w:rsidRPr="00252F9E">
              <w:rPr>
                <w:szCs w:val="22"/>
              </w:rPr>
              <w:t xml:space="preserve">Disadvantaged pupils have found the changes in learning routines to be challenging, as has engagement with lockdown and re-engagement with school life. This means that a higher than average percentage of disadvantaged pupils are represented in internal exclusion and behaviour related incidents, as well as class-related behaviour for learning incidents. </w:t>
            </w:r>
          </w:p>
          <w:p w14:paraId="2A7D54FA" w14:textId="672ECB81" w:rsidR="00F5114E" w:rsidRPr="00F5114E" w:rsidRDefault="00F5114E" w:rsidP="00C93FCC">
            <w:pPr>
              <w:pStyle w:val="TableRowCentered"/>
              <w:ind w:left="0"/>
              <w:jc w:val="left"/>
              <w:rPr>
                <w:b/>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FC51" w14:textId="77777777" w:rsidR="00E66558" w:rsidRDefault="00C93FCC" w:rsidP="00C93FCC">
            <w:pPr>
              <w:pStyle w:val="TableRowCentered"/>
              <w:ind w:left="0"/>
              <w:jc w:val="left"/>
              <w:rPr>
                <w:b/>
                <w:iCs/>
                <w:sz w:val="22"/>
              </w:rPr>
            </w:pPr>
            <w:r w:rsidRPr="00F5114E">
              <w:rPr>
                <w:b/>
                <w:iCs/>
                <w:sz w:val="22"/>
              </w:rPr>
              <w:t xml:space="preserve">Well-being and Mental Health </w:t>
            </w:r>
          </w:p>
          <w:p w14:paraId="5AACD052" w14:textId="77777777" w:rsidR="009A4564" w:rsidRDefault="006B0DE6" w:rsidP="009A4564">
            <w:pPr>
              <w:pStyle w:val="TableRowCentered"/>
              <w:ind w:left="0"/>
              <w:jc w:val="left"/>
            </w:pPr>
            <w:r>
              <w:t>Historically at Fakenham Academy, School attendance is an indicator of underlying wellbeing and mental health issues</w:t>
            </w:r>
            <w:r w:rsidR="009A4564">
              <w:t>. The</w:t>
            </w:r>
            <w:r>
              <w:t xml:space="preserve"> wellbeing and mental health support is a key priority in improving the </w:t>
            </w:r>
            <w:r w:rsidR="009A4564">
              <w:t xml:space="preserve">pupil achievement, </w:t>
            </w:r>
            <w:r>
              <w:t>attendance</w:t>
            </w:r>
            <w:r w:rsidR="009A4564">
              <w:t xml:space="preserve"> and overall happiness of pupils at our Academy. </w:t>
            </w:r>
          </w:p>
          <w:p w14:paraId="2A7D54FD" w14:textId="7ABA5DC9" w:rsidR="002833B3" w:rsidRPr="00F5114E" w:rsidRDefault="006B0DE6" w:rsidP="009A4564">
            <w:pPr>
              <w:pStyle w:val="TableRowCentered"/>
              <w:ind w:left="0"/>
              <w:jc w:val="left"/>
              <w:rPr>
                <w:b/>
                <w:iCs/>
                <w:sz w:val="22"/>
              </w:rPr>
            </w:pPr>
            <w:r>
              <w:t xml:space="preserve">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2D375" w14:textId="77777777" w:rsidR="00F5114E" w:rsidRDefault="00F5114E" w:rsidP="00F5114E">
            <w:pPr>
              <w:pStyle w:val="TableRowCentered"/>
              <w:ind w:left="0"/>
              <w:jc w:val="left"/>
              <w:rPr>
                <w:b/>
                <w:iCs/>
                <w:sz w:val="22"/>
                <w:szCs w:val="22"/>
              </w:rPr>
            </w:pPr>
            <w:r w:rsidRPr="00F5114E">
              <w:rPr>
                <w:b/>
                <w:iCs/>
                <w:sz w:val="22"/>
                <w:szCs w:val="22"/>
              </w:rPr>
              <w:t>Academic Achievement</w:t>
            </w:r>
          </w:p>
          <w:p w14:paraId="0D1EB47E" w14:textId="77777777" w:rsidR="00E66558" w:rsidRDefault="00AA0232" w:rsidP="00AA0232">
            <w:pPr>
              <w:pStyle w:val="TableRow"/>
              <w:ind w:left="0"/>
            </w:pPr>
            <w:r>
              <w:t>Improved achievement among disadvantaged pupils across the curriculum at the end of KS4.</w:t>
            </w:r>
          </w:p>
          <w:p w14:paraId="316F39B3" w14:textId="77777777" w:rsidR="00AA242F" w:rsidRDefault="00AA242F" w:rsidP="00AA0232">
            <w:pPr>
              <w:pStyle w:val="TableRow"/>
              <w:ind w:left="0"/>
            </w:pPr>
          </w:p>
          <w:p w14:paraId="2A7D5504" w14:textId="22DDC8DB" w:rsidR="00AA242F" w:rsidRDefault="00AA242F" w:rsidP="00AA0232">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EC4C" w14:textId="7987BD68" w:rsidR="00E66558" w:rsidRDefault="00AA0232" w:rsidP="0018553B">
            <w:pPr>
              <w:pStyle w:val="TableRowCentered"/>
              <w:jc w:val="left"/>
            </w:pPr>
            <w:r>
              <w:t>2024/25 KS4 outcomes demonstrate that disadvantaged pupils achieve and there is smaller disparity between the attainment of disadvantaged pupils and their non-disadvantaged peers. • Progress 8 gap of 0 for disadvantaged students (students that are disadvantaged achieve as well as their peers of the same KS2 starting point) • Attainment 8 gap no larger than National Average.</w:t>
            </w:r>
          </w:p>
          <w:p w14:paraId="677A2DAC" w14:textId="41E7ADC2" w:rsidR="00AA242F" w:rsidRDefault="00AA242F" w:rsidP="0018553B">
            <w:pPr>
              <w:pStyle w:val="TableRowCentered"/>
              <w:jc w:val="left"/>
            </w:pPr>
          </w:p>
          <w:p w14:paraId="7001CF81" w14:textId="057B9EC8" w:rsidR="00AA242F" w:rsidRDefault="00AA242F" w:rsidP="0018553B">
            <w:pPr>
              <w:pStyle w:val="TableRowCentered"/>
              <w:jc w:val="left"/>
            </w:pPr>
            <w:r>
              <w:lastRenderedPageBreak/>
              <w:t>Improve</w:t>
            </w:r>
            <w:r w:rsidR="00EE76A8">
              <w:t>d</w:t>
            </w:r>
            <w:r>
              <w:t xml:space="preserve"> percentage of Grade 4+ and 5+ </w:t>
            </w:r>
            <w:r w:rsidR="00EE76A8">
              <w:t>in English and M</w:t>
            </w:r>
            <w:r>
              <w:t>aths</w:t>
            </w:r>
          </w:p>
          <w:p w14:paraId="7287053E" w14:textId="31A20884" w:rsidR="00EE76A8" w:rsidRDefault="00EE76A8" w:rsidP="0018553B">
            <w:pPr>
              <w:pStyle w:val="TableRowCentered"/>
              <w:jc w:val="left"/>
            </w:pPr>
          </w:p>
          <w:p w14:paraId="302D85E6" w14:textId="485D8757" w:rsidR="00EE76A8" w:rsidRDefault="00EE76A8" w:rsidP="0018553B">
            <w:pPr>
              <w:pStyle w:val="TableRowCentered"/>
              <w:jc w:val="left"/>
            </w:pPr>
            <w:r>
              <w:t xml:space="preserve">Increase Ebacc entry at keystage 4 </w:t>
            </w:r>
          </w:p>
          <w:p w14:paraId="2A7D5505" w14:textId="15666009" w:rsidR="00AA0232" w:rsidRDefault="00AA0232" w:rsidP="0018553B">
            <w:pPr>
              <w:pStyle w:val="TableRowCentered"/>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2DDD" w14:textId="77777777" w:rsidR="00F5114E" w:rsidRPr="00446076" w:rsidRDefault="00F5114E" w:rsidP="00F5114E">
            <w:pPr>
              <w:pStyle w:val="TableRowCentered"/>
              <w:ind w:left="0"/>
              <w:jc w:val="left"/>
              <w:rPr>
                <w:b/>
                <w:szCs w:val="22"/>
              </w:rPr>
            </w:pPr>
            <w:r w:rsidRPr="00446076">
              <w:rPr>
                <w:b/>
                <w:szCs w:val="22"/>
              </w:rPr>
              <w:lastRenderedPageBreak/>
              <w:t>High Quality Teaching and Learning</w:t>
            </w:r>
          </w:p>
          <w:p w14:paraId="2A7D5507" w14:textId="528F6907" w:rsidR="00E66558" w:rsidRDefault="00446076" w:rsidP="00446076">
            <w:pPr>
              <w:pStyle w:val="TableRow"/>
              <w:ind w:left="0"/>
              <w:rPr>
                <w:sz w:val="22"/>
                <w:szCs w:val="22"/>
              </w:rPr>
            </w:pPr>
            <w:r w:rsidRPr="00446076">
              <w:rPr>
                <w:szCs w:val="22"/>
              </w:rPr>
              <w:t xml:space="preserve">Consistently high quality teaching across all departments that drives excellent progress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7B24" w14:textId="77777777" w:rsidR="00E66558" w:rsidRDefault="00BC426C">
            <w:pPr>
              <w:pStyle w:val="TableRowCentered"/>
              <w:jc w:val="left"/>
            </w:pPr>
            <w:r>
              <w:t xml:space="preserve">2024/25 Teaching is consistently </w:t>
            </w:r>
            <w:r w:rsidR="00AA242F">
              <w:t xml:space="preserve">of a high quality across all departments in the Academy. High quality teaching includes tailored support for our most vulnerable pupils. </w:t>
            </w:r>
          </w:p>
          <w:p w14:paraId="7902D5E6" w14:textId="77777777" w:rsidR="00AA242F" w:rsidRDefault="00AA242F">
            <w:pPr>
              <w:pStyle w:val="TableRowCentered"/>
              <w:jc w:val="left"/>
              <w:rPr>
                <w:sz w:val="22"/>
                <w:szCs w:val="22"/>
              </w:rPr>
            </w:pPr>
          </w:p>
          <w:p w14:paraId="2A7D5508" w14:textId="60CECFB2" w:rsidR="00446076" w:rsidRDefault="00446076">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56A50" w14:textId="77777777" w:rsidR="00F5114E" w:rsidRPr="00446076" w:rsidRDefault="00F5114E" w:rsidP="00F5114E">
            <w:pPr>
              <w:pStyle w:val="TableRowCentered"/>
              <w:ind w:left="0"/>
              <w:jc w:val="left"/>
              <w:rPr>
                <w:b/>
                <w:szCs w:val="22"/>
              </w:rPr>
            </w:pPr>
            <w:r w:rsidRPr="00446076">
              <w:rPr>
                <w:b/>
                <w:szCs w:val="22"/>
              </w:rPr>
              <w:t>Attendance and Aspiration</w:t>
            </w:r>
          </w:p>
          <w:p w14:paraId="13B06ED8" w14:textId="77777777" w:rsidR="00E66558" w:rsidRDefault="00AA0232" w:rsidP="00AA0232">
            <w:pPr>
              <w:pStyle w:val="TableRow"/>
              <w:ind w:left="0"/>
            </w:pPr>
            <w:r>
              <w:t>To achieve and sustain improved attendance for all pupils and especially the disadvantaged pupils.</w:t>
            </w:r>
          </w:p>
          <w:p w14:paraId="4DF0AC3E" w14:textId="77777777" w:rsidR="000B0739" w:rsidRDefault="000B0739" w:rsidP="00AA0232">
            <w:pPr>
              <w:pStyle w:val="TableRow"/>
              <w:ind w:left="0"/>
            </w:pPr>
          </w:p>
          <w:p w14:paraId="03324BC9" w14:textId="77777777" w:rsidR="000B0739" w:rsidRDefault="000B0739" w:rsidP="00AA0232">
            <w:pPr>
              <w:pStyle w:val="TableRow"/>
              <w:ind w:left="0"/>
            </w:pPr>
          </w:p>
          <w:p w14:paraId="1333169F" w14:textId="77777777" w:rsidR="000B0739" w:rsidRDefault="000B0739" w:rsidP="00AA0232">
            <w:pPr>
              <w:pStyle w:val="TableRow"/>
              <w:ind w:left="0"/>
            </w:pPr>
          </w:p>
          <w:p w14:paraId="2A7D550A" w14:textId="35B163B9" w:rsidR="000B0739" w:rsidRDefault="000B0739" w:rsidP="00AA0232">
            <w:pPr>
              <w:pStyle w:val="TableRow"/>
              <w:ind w:left="0"/>
              <w:rPr>
                <w:sz w:val="22"/>
                <w:szCs w:val="22"/>
              </w:rPr>
            </w:pPr>
            <w:r>
              <w:t xml:space="preserve">To raise aspirations across the Academy for all pupils at all key stages.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C82C" w14:textId="77777777" w:rsidR="00F5114E" w:rsidRDefault="00F5114E">
            <w:pPr>
              <w:pStyle w:val="TableRowCentered"/>
              <w:jc w:val="left"/>
            </w:pPr>
            <w:r>
              <w:t xml:space="preserve">Sustained high attendance from 2024/25 demonstrated by: </w:t>
            </w:r>
          </w:p>
          <w:p w14:paraId="333250E0" w14:textId="5048005C" w:rsidR="00E66558" w:rsidRDefault="00F5114E">
            <w:pPr>
              <w:pStyle w:val="TableRowCentered"/>
              <w:jc w:val="left"/>
            </w:pPr>
            <w:r>
              <w:t>• Attendance rate for disadvantaged student above 90%, and the attendance gap between disadvantaged pupils and their no disadvantaged peers being reduced by 4%</w:t>
            </w:r>
            <w:r w:rsidR="000B0739">
              <w:t xml:space="preserve">. </w:t>
            </w:r>
          </w:p>
          <w:p w14:paraId="7542A97A" w14:textId="2B62DF00" w:rsidR="000B0739" w:rsidRDefault="000B0739">
            <w:pPr>
              <w:pStyle w:val="TableRowCentered"/>
              <w:jc w:val="left"/>
            </w:pPr>
          </w:p>
          <w:p w14:paraId="0B11C371" w14:textId="71127EC0" w:rsidR="000B0739" w:rsidRDefault="000B0739">
            <w:pPr>
              <w:pStyle w:val="TableRowCentered"/>
              <w:jc w:val="left"/>
            </w:pPr>
            <w:r>
              <w:t xml:space="preserve">Improved Gatsby benchmarks across the Academy to ensure careers education is raising aspirations across the academy. </w:t>
            </w:r>
          </w:p>
          <w:p w14:paraId="2A7D550B" w14:textId="6C9F37F3" w:rsidR="00F5114E" w:rsidRDefault="00F5114E">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3967DC0" w:rsidR="00E66558" w:rsidRDefault="001B0769" w:rsidP="001B0769">
            <w:pPr>
              <w:pStyle w:val="TableRowCentered"/>
              <w:ind w:left="0"/>
              <w:jc w:val="left"/>
              <w:rPr>
                <w:sz w:val="22"/>
                <w:szCs w:val="22"/>
              </w:rPr>
            </w:pPr>
            <w:r>
              <w:t>A reduction in poor BfL among disadvantaged pupils. To understand patterns of behaviour and learn how to control these positively.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71163" w14:textId="77777777" w:rsidR="001B0769" w:rsidRDefault="001B0769" w:rsidP="001B0769">
            <w:pPr>
              <w:pStyle w:val="TableRowCentered"/>
              <w:ind w:left="0"/>
              <w:jc w:val="left"/>
            </w:pPr>
            <w:r>
              <w:t xml:space="preserve">By 2024/25 improved behaviour will be characterised by: • Reduction of incidences of IER / FTE for </w:t>
            </w:r>
          </w:p>
          <w:p w14:paraId="5F58D792" w14:textId="77777777" w:rsidR="001B0769" w:rsidRDefault="001B0769" w:rsidP="001B0769">
            <w:pPr>
              <w:pStyle w:val="TableRowCentered"/>
              <w:ind w:left="0"/>
              <w:jc w:val="left"/>
            </w:pPr>
            <w:r>
              <w:t>disadvantaged pupils</w:t>
            </w:r>
          </w:p>
          <w:p w14:paraId="5BDC254C" w14:textId="55732D7B" w:rsidR="001B0769" w:rsidRDefault="001B0769" w:rsidP="001B0769">
            <w:pPr>
              <w:pStyle w:val="TableRowCentered"/>
              <w:ind w:left="0"/>
              <w:jc w:val="left"/>
            </w:pPr>
            <w:r>
              <w:t xml:space="preserve">• No significant gap between behaviour incidents for DP and non DP pupils. </w:t>
            </w:r>
          </w:p>
          <w:p w14:paraId="2A7D550E" w14:textId="77A6FA45" w:rsidR="00E66558" w:rsidRDefault="001B0769" w:rsidP="001B0769">
            <w:pPr>
              <w:pStyle w:val="TableRowCentered"/>
              <w:ind w:left="0"/>
              <w:jc w:val="left"/>
              <w:rPr>
                <w:sz w:val="22"/>
                <w:szCs w:val="22"/>
              </w:rPr>
            </w:pPr>
            <w:r>
              <w:t>• Gap in BfL reports reduced to &lt;5%.</w:t>
            </w:r>
          </w:p>
        </w:tc>
      </w:tr>
      <w:tr w:rsidR="00F5114E" w14:paraId="0C2342A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EF85" w14:textId="77777777" w:rsidR="00F5114E" w:rsidRPr="00446076" w:rsidRDefault="00F5114E" w:rsidP="00F5114E">
            <w:pPr>
              <w:pStyle w:val="TableRowCentered"/>
              <w:ind w:left="0"/>
              <w:jc w:val="left"/>
              <w:rPr>
                <w:b/>
                <w:iCs/>
              </w:rPr>
            </w:pPr>
            <w:r w:rsidRPr="00446076">
              <w:rPr>
                <w:b/>
                <w:iCs/>
              </w:rPr>
              <w:t xml:space="preserve">Well-being and Mental Health </w:t>
            </w:r>
          </w:p>
          <w:p w14:paraId="2B2AD339" w14:textId="0639695F" w:rsidR="00F5114E" w:rsidRPr="002833B3" w:rsidRDefault="002833B3">
            <w:pPr>
              <w:pStyle w:val="TableRow"/>
              <w:rPr>
                <w:sz w:val="22"/>
                <w:szCs w:val="22"/>
              </w:rPr>
            </w:pPr>
            <w:r w:rsidRPr="00446076">
              <w:rPr>
                <w:szCs w:val="22"/>
              </w:rPr>
              <w:t>Support students in achieving positive wellbeing and mental health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FE23" w14:textId="58BC6373" w:rsidR="00F5114E" w:rsidRPr="002833B3" w:rsidRDefault="002833B3">
            <w:pPr>
              <w:pStyle w:val="TableRowCentered"/>
              <w:jc w:val="left"/>
              <w:rPr>
                <w:sz w:val="22"/>
                <w:szCs w:val="22"/>
              </w:rPr>
            </w:pPr>
            <w:r w:rsidRPr="00446076">
              <w:rPr>
                <w:szCs w:val="22"/>
              </w:rPr>
              <w:t xml:space="preserve">PP students report positive mental health and are supported in their wellbeing.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9ACA02E" w:rsidR="00E66558" w:rsidRPr="0061282E" w:rsidRDefault="009D71E8">
      <w:r>
        <w:t xml:space="preserve">Budgeted cost: £ </w:t>
      </w:r>
      <w:r w:rsidR="007D2D78">
        <w:t>146,815</w:t>
      </w:r>
    </w:p>
    <w:tbl>
      <w:tblPr>
        <w:tblW w:w="5452" w:type="pct"/>
        <w:tblCellMar>
          <w:left w:w="10" w:type="dxa"/>
          <w:right w:w="10" w:type="dxa"/>
        </w:tblCellMar>
        <w:tblLook w:val="04A0" w:firstRow="1" w:lastRow="0" w:firstColumn="1" w:lastColumn="0" w:noHBand="0" w:noVBand="1"/>
      </w:tblPr>
      <w:tblGrid>
        <w:gridCol w:w="2488"/>
        <w:gridCol w:w="6318"/>
        <w:gridCol w:w="1538"/>
      </w:tblGrid>
      <w:tr w:rsidR="00E66558" w14:paraId="2A7D5519"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3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61EB214" w:rsidR="00E66558" w:rsidRPr="002833B3" w:rsidRDefault="0061282E">
            <w:pPr>
              <w:pStyle w:val="TableRow"/>
              <w:rPr>
                <w:sz w:val="22"/>
                <w:szCs w:val="22"/>
              </w:rPr>
            </w:pPr>
            <w:r>
              <w:rPr>
                <w:sz w:val="22"/>
                <w:szCs w:val="22"/>
              </w:rPr>
              <w:t>Support</w:t>
            </w:r>
            <w:r w:rsidR="002833B3" w:rsidRPr="002833B3">
              <w:rPr>
                <w:sz w:val="22"/>
                <w:szCs w:val="22"/>
              </w:rPr>
              <w:t xml:space="preserve"> of additional staffing to support smaller groups and </w:t>
            </w:r>
            <w:r>
              <w:rPr>
                <w:sz w:val="22"/>
                <w:szCs w:val="22"/>
              </w:rPr>
              <w:t>support in Y7,8 and 11.</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E0BE" w14:textId="6E594F8E" w:rsidR="00E66558" w:rsidRDefault="002B6B11">
            <w:pPr>
              <w:pStyle w:val="TableRowCentered"/>
              <w:jc w:val="left"/>
              <w:rPr>
                <w:sz w:val="22"/>
              </w:rPr>
            </w:pPr>
            <w:hyperlink r:id="rId8" w:history="1">
              <w:r w:rsidR="002833B3" w:rsidRPr="00222341">
                <w:rPr>
                  <w:rStyle w:val="Hyperlink"/>
                  <w:sz w:val="22"/>
                </w:rPr>
                <w:t>https://educationendowmentfoundation.org.uk/support-for-schools/school-improvement-planning/1-high-quality-teaching</w:t>
              </w:r>
            </w:hyperlink>
          </w:p>
          <w:p w14:paraId="7B91CE8C" w14:textId="551F960E" w:rsidR="002833B3" w:rsidRDefault="002833B3">
            <w:pPr>
              <w:pStyle w:val="TableRowCentered"/>
              <w:jc w:val="left"/>
              <w:rPr>
                <w:sz w:val="22"/>
                <w:szCs w:val="22"/>
              </w:rPr>
            </w:pPr>
            <w:r w:rsidRPr="002833B3">
              <w:rPr>
                <w:sz w:val="22"/>
                <w:szCs w:val="22"/>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37CC74AC" w14:textId="79A3425D" w:rsidR="00C84910" w:rsidRDefault="00C84910">
            <w:pPr>
              <w:pStyle w:val="TableRowCentered"/>
              <w:jc w:val="left"/>
              <w:rPr>
                <w:sz w:val="22"/>
                <w:szCs w:val="22"/>
              </w:rPr>
            </w:pPr>
          </w:p>
          <w:p w14:paraId="0735EBA4" w14:textId="0B1B8C57" w:rsidR="00C84910" w:rsidRDefault="002B6B11">
            <w:pPr>
              <w:pStyle w:val="TableRowCentered"/>
              <w:jc w:val="left"/>
              <w:rPr>
                <w:sz w:val="22"/>
                <w:szCs w:val="22"/>
              </w:rPr>
            </w:pPr>
            <w:hyperlink r:id="rId9" w:history="1">
              <w:r w:rsidR="00C84910" w:rsidRPr="00105D7D">
                <w:rPr>
                  <w:rStyle w:val="Hyperlink"/>
                  <w:sz w:val="22"/>
                  <w:szCs w:val="22"/>
                </w:rPr>
                <w:t>https://educationendowmentfoundation.org.uk/education-evidence/teaching-learning-toolkit/reducing-class-size</w:t>
              </w:r>
            </w:hyperlink>
            <w:r w:rsidR="00C84910">
              <w:rPr>
                <w:sz w:val="22"/>
                <w:szCs w:val="22"/>
              </w:rPr>
              <w:t xml:space="preserve"> </w:t>
            </w:r>
          </w:p>
          <w:p w14:paraId="3AE3A84B" w14:textId="77722E53" w:rsidR="00C84910" w:rsidRDefault="00C84910">
            <w:pPr>
              <w:pStyle w:val="TableRowCentered"/>
              <w:jc w:val="left"/>
              <w:rPr>
                <w:sz w:val="22"/>
                <w:szCs w:val="22"/>
              </w:rPr>
            </w:pPr>
          </w:p>
          <w:p w14:paraId="72680F33" w14:textId="66FBF468" w:rsidR="00C84910" w:rsidRDefault="00C84910">
            <w:pPr>
              <w:pStyle w:val="TableRowCentered"/>
              <w:jc w:val="left"/>
              <w:rPr>
                <w:sz w:val="22"/>
                <w:szCs w:val="22"/>
              </w:rPr>
            </w:pPr>
            <w:r>
              <w:t>Evidence showing additional progress relating to class size</w:t>
            </w:r>
          </w:p>
          <w:p w14:paraId="7887BE75" w14:textId="77777777" w:rsidR="002833B3" w:rsidRDefault="002833B3">
            <w:pPr>
              <w:pStyle w:val="TableRowCentered"/>
              <w:jc w:val="left"/>
              <w:rPr>
                <w:sz w:val="22"/>
                <w:szCs w:val="22"/>
              </w:rPr>
            </w:pPr>
          </w:p>
          <w:p w14:paraId="2A7D551B" w14:textId="04EFA489" w:rsidR="002833B3" w:rsidRPr="002833B3" w:rsidRDefault="002833B3">
            <w:pPr>
              <w:pStyle w:val="TableRowCentered"/>
              <w:jc w:val="left"/>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0DB0F72" w:rsidR="00E66558" w:rsidRDefault="001B0769">
            <w:pPr>
              <w:pStyle w:val="TableRowCentered"/>
              <w:jc w:val="left"/>
              <w:rPr>
                <w:sz w:val="22"/>
              </w:rPr>
            </w:pPr>
            <w:r>
              <w:rPr>
                <w:sz w:val="22"/>
              </w:rPr>
              <w:t>1,2</w:t>
            </w:r>
          </w:p>
        </w:tc>
      </w:tr>
      <w:tr w:rsidR="00C77C33" w14:paraId="10CCCF74"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204DF" w14:textId="7D64A70D" w:rsidR="00C77C33" w:rsidRDefault="0061282E">
            <w:pPr>
              <w:pStyle w:val="TableRow"/>
              <w:rPr>
                <w:sz w:val="22"/>
                <w:szCs w:val="22"/>
              </w:rPr>
            </w:pPr>
            <w:r>
              <w:rPr>
                <w:sz w:val="22"/>
                <w:szCs w:val="22"/>
              </w:rPr>
              <w:t>Support</w:t>
            </w:r>
            <w:r w:rsidR="00C77C33">
              <w:rPr>
                <w:sz w:val="22"/>
                <w:szCs w:val="22"/>
              </w:rPr>
              <w:t xml:space="preserve"> of additional staffing to enhance careers education </w:t>
            </w:r>
          </w:p>
          <w:p w14:paraId="458A6848" w14:textId="6419738B" w:rsidR="00C77C33" w:rsidRPr="002833B3" w:rsidRDefault="00C77C33">
            <w:pPr>
              <w:pStyle w:val="TableRow"/>
              <w:rPr>
                <w:sz w:val="22"/>
                <w:szCs w:val="22"/>
              </w:rPr>
            </w:pPr>
            <w:r>
              <w:rPr>
                <w:sz w:val="22"/>
                <w:szCs w:val="22"/>
              </w:rPr>
              <w:t>(£</w:t>
            </w:r>
            <w:r w:rsidR="007D2D78">
              <w:rPr>
                <w:sz w:val="22"/>
                <w:szCs w:val="22"/>
              </w:rPr>
              <w:t>38,094</w:t>
            </w:r>
            <w:r w:rsidR="006C2936">
              <w:rPr>
                <w:sz w:val="22"/>
                <w:szCs w:val="22"/>
              </w:rPr>
              <w:t>)</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F6D1E" w14:textId="77777777" w:rsidR="00C77C33" w:rsidRDefault="00C77C33">
            <w:pPr>
              <w:pStyle w:val="TableRowCentered"/>
              <w:jc w:val="left"/>
              <w:rPr>
                <w:sz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055E" w14:textId="49C94539" w:rsidR="00C77C33" w:rsidRDefault="001B0769">
            <w:pPr>
              <w:pStyle w:val="TableRowCentered"/>
              <w:jc w:val="left"/>
              <w:rPr>
                <w:sz w:val="22"/>
              </w:rPr>
            </w:pPr>
            <w:r>
              <w:rPr>
                <w:sz w:val="22"/>
              </w:rPr>
              <w:t>1, 3</w:t>
            </w:r>
          </w:p>
        </w:tc>
      </w:tr>
      <w:tr w:rsidR="006C2936" w14:paraId="58218883"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21E5A" w14:textId="14D7AFFB" w:rsidR="006C2936" w:rsidRDefault="001B0769">
            <w:pPr>
              <w:pStyle w:val="TableRow"/>
              <w:rPr>
                <w:sz w:val="22"/>
                <w:szCs w:val="22"/>
              </w:rPr>
            </w:pPr>
            <w:r>
              <w:rPr>
                <w:sz w:val="22"/>
                <w:szCs w:val="22"/>
              </w:rPr>
              <w:t>Support</w:t>
            </w:r>
            <w:r w:rsidR="006C2936">
              <w:rPr>
                <w:sz w:val="22"/>
                <w:szCs w:val="22"/>
              </w:rPr>
              <w:t xml:space="preserve"> of staffing to enhance behaviour support </w:t>
            </w:r>
          </w:p>
          <w:p w14:paraId="2EA79A1A" w14:textId="13946D98" w:rsidR="006C2936" w:rsidRDefault="006C2936">
            <w:pPr>
              <w:pStyle w:val="TableRow"/>
              <w:rPr>
                <w:sz w:val="22"/>
                <w:szCs w:val="22"/>
              </w:rPr>
            </w:pPr>
            <w:r>
              <w:rPr>
                <w:sz w:val="22"/>
                <w:szCs w:val="22"/>
              </w:rPr>
              <w:t>(£12,337)</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9303" w14:textId="3B01A413" w:rsidR="006C2936" w:rsidRDefault="002B6B11">
            <w:pPr>
              <w:pStyle w:val="TableRowCentered"/>
              <w:jc w:val="left"/>
              <w:rPr>
                <w:sz w:val="22"/>
              </w:rPr>
            </w:pPr>
            <w:hyperlink r:id="rId10" w:history="1">
              <w:r w:rsidR="00C84910" w:rsidRPr="00105D7D">
                <w:rPr>
                  <w:rStyle w:val="Hyperlink"/>
                  <w:sz w:val="22"/>
                </w:rPr>
                <w:t>https://www.gov.uk/government/publications/school-attendance/framework-for-securing-full-attendance-actions-for-schools-and-local-authorities</w:t>
              </w:r>
            </w:hyperlink>
            <w:r w:rsidR="00C84910">
              <w:rPr>
                <w:sz w:val="22"/>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C371" w14:textId="06366DC3" w:rsidR="006C2936" w:rsidRDefault="001B0769">
            <w:pPr>
              <w:pStyle w:val="TableRowCentered"/>
              <w:jc w:val="left"/>
              <w:rPr>
                <w:sz w:val="22"/>
              </w:rPr>
            </w:pPr>
            <w:r>
              <w:rPr>
                <w:sz w:val="22"/>
              </w:rPr>
              <w:t>3, 4, 5</w:t>
            </w:r>
          </w:p>
        </w:tc>
      </w:tr>
      <w:tr w:rsidR="007D2D78" w14:paraId="41C3D1F7"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2CFED" w14:textId="3FC5A7EF" w:rsidR="007D2D78" w:rsidRDefault="007D2D78" w:rsidP="007D2D78">
            <w:pPr>
              <w:pStyle w:val="TableRow"/>
              <w:rPr>
                <w:sz w:val="22"/>
                <w:szCs w:val="22"/>
              </w:rPr>
            </w:pPr>
            <w:r>
              <w:rPr>
                <w:sz w:val="22"/>
                <w:szCs w:val="22"/>
              </w:rPr>
              <w:t xml:space="preserve">Support of staffing to enhance enrichment activities </w:t>
            </w:r>
          </w:p>
          <w:p w14:paraId="0424C81E" w14:textId="3BD90583" w:rsidR="007D2D78" w:rsidRDefault="007D2D78" w:rsidP="007D2D78">
            <w:pPr>
              <w:pStyle w:val="TableRow"/>
              <w:rPr>
                <w:sz w:val="22"/>
                <w:szCs w:val="22"/>
              </w:rPr>
            </w:pPr>
            <w:r>
              <w:rPr>
                <w:sz w:val="22"/>
                <w:szCs w:val="22"/>
              </w:rPr>
              <w:t>(£2,897)</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D7D4" w14:textId="28B2C505" w:rsidR="007D2D78" w:rsidRDefault="002B6B11" w:rsidP="007D2D78">
            <w:pPr>
              <w:pStyle w:val="TableRowCentered"/>
              <w:jc w:val="left"/>
            </w:pPr>
            <w:hyperlink r:id="rId11" w:history="1">
              <w:r w:rsidR="007D2D78" w:rsidRPr="00105D7D">
                <w:rPr>
                  <w:rStyle w:val="Hyperlink"/>
                  <w:sz w:val="22"/>
                </w:rPr>
                <w:t>https://www.gov.uk/government/publications/school-attendance/framework-for-securing-full-attendance-actions-for-schools-and-local-authorities</w:t>
              </w:r>
            </w:hyperlink>
            <w:r w:rsidR="007D2D78">
              <w:rPr>
                <w:sz w:val="22"/>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DAAF2" w14:textId="6D3D1C57" w:rsidR="007D2D78" w:rsidRDefault="007D2D78" w:rsidP="007D2D78">
            <w:pPr>
              <w:pStyle w:val="TableRowCentered"/>
              <w:jc w:val="left"/>
              <w:rPr>
                <w:sz w:val="22"/>
              </w:rPr>
            </w:pPr>
            <w:r>
              <w:rPr>
                <w:sz w:val="22"/>
              </w:rPr>
              <w:t>3, 4, 5</w:t>
            </w:r>
          </w:p>
        </w:tc>
      </w:tr>
      <w:tr w:rsidR="007D2D78" w14:paraId="50A3A453"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C632" w14:textId="725C4675" w:rsidR="007D2D78" w:rsidRDefault="00F05FD0" w:rsidP="007D2D78">
            <w:pPr>
              <w:pStyle w:val="TableRow"/>
              <w:rPr>
                <w:sz w:val="22"/>
                <w:szCs w:val="22"/>
              </w:rPr>
            </w:pPr>
            <w:r>
              <w:rPr>
                <w:sz w:val="22"/>
                <w:szCs w:val="22"/>
              </w:rPr>
              <w:t>S</w:t>
            </w:r>
            <w:r w:rsidR="007D2D78">
              <w:rPr>
                <w:sz w:val="22"/>
                <w:szCs w:val="22"/>
              </w:rPr>
              <w:t>upport of staffing to enhance pastoral and wellbeing support</w:t>
            </w:r>
          </w:p>
          <w:p w14:paraId="2A868520" w14:textId="5159CDFE" w:rsidR="007D2D78" w:rsidRDefault="007D2D78" w:rsidP="007D2D78">
            <w:pPr>
              <w:pStyle w:val="TableRow"/>
              <w:rPr>
                <w:sz w:val="22"/>
                <w:szCs w:val="22"/>
              </w:rPr>
            </w:pPr>
            <w:r>
              <w:rPr>
                <w:sz w:val="22"/>
                <w:szCs w:val="22"/>
              </w:rPr>
              <w:t xml:space="preserve">(£73,623) </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DF724" w14:textId="70D50CB5" w:rsidR="007D2D78" w:rsidRDefault="002B6B11" w:rsidP="007D2D78">
            <w:pPr>
              <w:pStyle w:val="TableRowCentered"/>
              <w:jc w:val="left"/>
              <w:rPr>
                <w:sz w:val="22"/>
              </w:rPr>
            </w:pPr>
            <w:hyperlink r:id="rId12" w:history="1">
              <w:r w:rsidR="007D2D78" w:rsidRPr="00105D7D">
                <w:rPr>
                  <w:rStyle w:val="Hyperlink"/>
                  <w:sz w:val="22"/>
                </w:rPr>
                <w:t>https://www.gov.uk/government/publications/school-attendance/framework-for-securing-full-attendance-actions-for-schools-and-local-authorities</w:t>
              </w:r>
            </w:hyperlink>
            <w:r w:rsidR="007D2D78">
              <w:rPr>
                <w:sz w:val="22"/>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EE3BC" w14:textId="6F151365" w:rsidR="007D2D78" w:rsidRDefault="007D2D78" w:rsidP="007D2D78">
            <w:pPr>
              <w:pStyle w:val="TableRowCentered"/>
              <w:jc w:val="left"/>
              <w:rPr>
                <w:sz w:val="22"/>
              </w:rPr>
            </w:pPr>
            <w:r>
              <w:rPr>
                <w:sz w:val="22"/>
              </w:rPr>
              <w:t>3, 4, 5</w:t>
            </w:r>
          </w:p>
        </w:tc>
      </w:tr>
      <w:tr w:rsidR="007D2D78" w14:paraId="67E98BB2"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F2733" w14:textId="6A8CE444" w:rsidR="007D2D78" w:rsidRDefault="007D2D78" w:rsidP="007D2D78">
            <w:pPr>
              <w:pStyle w:val="TableRow"/>
              <w:rPr>
                <w:sz w:val="22"/>
                <w:szCs w:val="22"/>
              </w:rPr>
            </w:pPr>
            <w:r>
              <w:rPr>
                <w:sz w:val="22"/>
                <w:szCs w:val="22"/>
              </w:rPr>
              <w:t>Appointment of staffing to enhance Attendance support and intervention</w:t>
            </w:r>
          </w:p>
          <w:p w14:paraId="2DEF96C0" w14:textId="6BAE122B" w:rsidR="007D2D78" w:rsidRDefault="007D2D78" w:rsidP="007D2D78">
            <w:pPr>
              <w:pStyle w:val="TableRow"/>
              <w:rPr>
                <w:sz w:val="22"/>
                <w:szCs w:val="22"/>
              </w:rPr>
            </w:pPr>
            <w:r>
              <w:rPr>
                <w:sz w:val="22"/>
                <w:szCs w:val="22"/>
              </w:rPr>
              <w:lastRenderedPageBreak/>
              <w:t xml:space="preserve">(£10,864) </w:t>
            </w:r>
          </w:p>
          <w:p w14:paraId="2EB1AE1B" w14:textId="77777777" w:rsidR="007D2D78" w:rsidRDefault="007D2D78" w:rsidP="007D2D78">
            <w:pPr>
              <w:pStyle w:val="TableRow"/>
              <w:rPr>
                <w:sz w:val="22"/>
                <w:szCs w:val="22"/>
              </w:rPr>
            </w:pP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077D" w14:textId="4B99B29D" w:rsidR="007D2D78" w:rsidRDefault="002B6B11" w:rsidP="007D2D78">
            <w:pPr>
              <w:pStyle w:val="TableRowCentered"/>
              <w:jc w:val="left"/>
              <w:rPr>
                <w:sz w:val="22"/>
              </w:rPr>
            </w:pPr>
            <w:hyperlink r:id="rId13" w:history="1">
              <w:r w:rsidR="007D2D78" w:rsidRPr="00105D7D">
                <w:rPr>
                  <w:rStyle w:val="Hyperlink"/>
                  <w:sz w:val="22"/>
                </w:rPr>
                <w:t>https://www.gov.uk/government/publications/school-attendance/framework-for-securing-full-attendance-actions-for-schools-and-local-authorities</w:t>
              </w:r>
            </w:hyperlink>
            <w:r w:rsidR="007D2D78">
              <w:rPr>
                <w:sz w:val="22"/>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43C5" w14:textId="74FD4D78" w:rsidR="007D2D78" w:rsidRDefault="007D2D78" w:rsidP="007D2D78">
            <w:pPr>
              <w:pStyle w:val="TableRowCentered"/>
              <w:jc w:val="left"/>
              <w:rPr>
                <w:sz w:val="22"/>
              </w:rPr>
            </w:pPr>
            <w:r>
              <w:rPr>
                <w:sz w:val="22"/>
              </w:rPr>
              <w:t>3, 5</w:t>
            </w:r>
          </w:p>
        </w:tc>
      </w:tr>
      <w:tr w:rsidR="007D2D78" w14:paraId="5AAA2BEC"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4259" w14:textId="77777777" w:rsidR="007D2D78" w:rsidRPr="00446076" w:rsidRDefault="007D2D78" w:rsidP="007D2D78">
            <w:pPr>
              <w:pStyle w:val="TableRow"/>
              <w:rPr>
                <w:b/>
                <w:i/>
                <w:sz w:val="22"/>
              </w:rPr>
            </w:pPr>
            <w:r w:rsidRPr="00446076">
              <w:rPr>
                <w:b/>
                <w:i/>
                <w:sz w:val="22"/>
              </w:rPr>
              <w:t>Quality Teaching first</w:t>
            </w:r>
          </w:p>
          <w:p w14:paraId="50F2FDAA" w14:textId="77777777" w:rsidR="007D2D78" w:rsidRPr="00446076" w:rsidRDefault="007D2D78" w:rsidP="007D2D78">
            <w:pPr>
              <w:pStyle w:val="TableRow"/>
              <w:rPr>
                <w:sz w:val="22"/>
              </w:rPr>
            </w:pPr>
            <w:r w:rsidRPr="00446076">
              <w:rPr>
                <w:sz w:val="22"/>
              </w:rPr>
              <w:t>Provide training and professional development</w:t>
            </w:r>
          </w:p>
          <w:p w14:paraId="14FA387B" w14:textId="77777777" w:rsidR="007D2D78" w:rsidRPr="00446076" w:rsidRDefault="007D2D78" w:rsidP="007D2D78">
            <w:pPr>
              <w:pStyle w:val="TableRow"/>
              <w:rPr>
                <w:sz w:val="22"/>
              </w:rPr>
            </w:pPr>
            <w:r w:rsidRPr="00446076">
              <w:rPr>
                <w:sz w:val="22"/>
              </w:rPr>
              <w:t>to continue to develop curriculum design and</w:t>
            </w:r>
          </w:p>
          <w:p w14:paraId="5E55725E" w14:textId="77777777" w:rsidR="007D2D78" w:rsidRPr="00446076" w:rsidRDefault="007D2D78" w:rsidP="007D2D78">
            <w:pPr>
              <w:pStyle w:val="TableRow"/>
              <w:rPr>
                <w:sz w:val="22"/>
              </w:rPr>
            </w:pPr>
            <w:r w:rsidRPr="00446076">
              <w:rPr>
                <w:sz w:val="22"/>
              </w:rPr>
              <w:t>implementation including the increased use of</w:t>
            </w:r>
          </w:p>
          <w:p w14:paraId="0F115605" w14:textId="77777777" w:rsidR="007D2D78" w:rsidRPr="00446076" w:rsidRDefault="007D2D78" w:rsidP="007D2D78">
            <w:pPr>
              <w:pStyle w:val="TableRow"/>
              <w:rPr>
                <w:sz w:val="22"/>
              </w:rPr>
            </w:pPr>
            <w:r w:rsidRPr="00446076">
              <w:rPr>
                <w:sz w:val="22"/>
              </w:rPr>
              <w:t>metacognition, Rosenshine’s principals and</w:t>
            </w:r>
          </w:p>
          <w:p w14:paraId="271DB770" w14:textId="77777777" w:rsidR="007D2D78" w:rsidRPr="00446076" w:rsidRDefault="007D2D78" w:rsidP="007D2D78">
            <w:pPr>
              <w:pStyle w:val="TableRow"/>
              <w:rPr>
                <w:sz w:val="22"/>
              </w:rPr>
            </w:pPr>
            <w:r w:rsidRPr="00446076">
              <w:rPr>
                <w:sz w:val="22"/>
              </w:rPr>
              <w:t>cognitive load theory. Refining the curriculum</w:t>
            </w:r>
          </w:p>
          <w:p w14:paraId="02600D8C" w14:textId="3A131150" w:rsidR="007D2D78" w:rsidRPr="00446076" w:rsidRDefault="007D2D78" w:rsidP="007D2D78">
            <w:pPr>
              <w:pStyle w:val="TableRow"/>
              <w:rPr>
                <w:i/>
                <w:sz w:val="22"/>
              </w:rPr>
            </w:pPr>
            <w:r w:rsidRPr="00446076">
              <w:rPr>
                <w:sz w:val="22"/>
              </w:rPr>
              <w:t>to be focused on “powerful knowledge”</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BC236" w14:textId="6B6868B9" w:rsidR="007D2D78" w:rsidRDefault="002B6B11" w:rsidP="007D2D78">
            <w:pPr>
              <w:pStyle w:val="TableRowCentered"/>
              <w:ind w:left="0"/>
              <w:jc w:val="left"/>
              <w:rPr>
                <w:sz w:val="22"/>
                <w:szCs w:val="22"/>
              </w:rPr>
            </w:pPr>
            <w:hyperlink r:id="rId14" w:history="1">
              <w:r w:rsidR="007D2D78" w:rsidRPr="00105D7D">
                <w:rPr>
                  <w:rStyle w:val="Hyperlink"/>
                  <w:sz w:val="22"/>
                  <w:szCs w:val="22"/>
                </w:rPr>
                <w:t>https://educationendowmentfoundation.org.uk/support-for-schools/school-improvement-planning/1-high-quality-teaching</w:t>
              </w:r>
            </w:hyperlink>
            <w:r w:rsidR="007D2D78">
              <w:rPr>
                <w:sz w:val="22"/>
                <w:szCs w:val="22"/>
              </w:rPr>
              <w:t xml:space="preserve"> </w:t>
            </w:r>
          </w:p>
          <w:p w14:paraId="19079DD2" w14:textId="77777777" w:rsidR="007D2D78" w:rsidRDefault="007D2D78" w:rsidP="007D2D78">
            <w:pPr>
              <w:pStyle w:val="TableRowCentered"/>
              <w:ind w:left="0"/>
              <w:jc w:val="left"/>
              <w:rPr>
                <w:sz w:val="22"/>
                <w:szCs w:val="22"/>
              </w:rPr>
            </w:pPr>
            <w:r w:rsidRPr="00446076">
              <w:rPr>
                <w:sz w:val="22"/>
                <w:szCs w:val="22"/>
              </w:rPr>
              <w:t>Meta cognition is the highest impact according to the EEF Toolkit (7 additional months)</w:t>
            </w:r>
          </w:p>
          <w:p w14:paraId="1BF772ED" w14:textId="77777777" w:rsidR="007D2D78" w:rsidRDefault="007D2D78" w:rsidP="007D2D78">
            <w:pPr>
              <w:pStyle w:val="TableRowCentered"/>
              <w:ind w:left="0"/>
              <w:jc w:val="left"/>
            </w:pPr>
            <w: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39482DFB" w14:textId="77777777" w:rsidR="007D2D78" w:rsidRDefault="007D2D78" w:rsidP="007D2D78">
            <w:pPr>
              <w:pStyle w:val="TableRowCentered"/>
              <w:ind w:left="0"/>
              <w:jc w:val="left"/>
            </w:pPr>
          </w:p>
          <w:p w14:paraId="39F47400" w14:textId="79D9F2E5" w:rsidR="007D2D78" w:rsidRPr="00446076" w:rsidRDefault="007D2D78" w:rsidP="007D2D78">
            <w:pPr>
              <w:pStyle w:val="TableRowCentered"/>
              <w:ind w:left="0"/>
              <w:jc w:val="left"/>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EA0F" w14:textId="29920979" w:rsidR="007D2D78" w:rsidRPr="00446076" w:rsidRDefault="007D2D78" w:rsidP="007D2D78">
            <w:pPr>
              <w:pStyle w:val="TableRowCentered"/>
              <w:jc w:val="left"/>
              <w:rPr>
                <w:sz w:val="22"/>
              </w:rPr>
            </w:pPr>
            <w:r>
              <w:rPr>
                <w:sz w:val="22"/>
              </w:rPr>
              <w:t xml:space="preserve">1, 2 </w:t>
            </w:r>
          </w:p>
        </w:tc>
      </w:tr>
      <w:tr w:rsidR="007D2D78" w14:paraId="2A7D5521"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2F281" w14:textId="4C8F11AB" w:rsidR="007D2D78" w:rsidRPr="00446076" w:rsidRDefault="007D2D78" w:rsidP="007D2D78">
            <w:pPr>
              <w:pStyle w:val="TableRow"/>
              <w:rPr>
                <w:sz w:val="22"/>
              </w:rPr>
            </w:pPr>
            <w:r w:rsidRPr="00446076">
              <w:rPr>
                <w:sz w:val="22"/>
              </w:rPr>
              <w:t>Seneca</w:t>
            </w:r>
          </w:p>
          <w:p w14:paraId="069E1BB4" w14:textId="77777777" w:rsidR="007D2D78" w:rsidRPr="00446076" w:rsidRDefault="007D2D78" w:rsidP="007D2D78">
            <w:pPr>
              <w:pStyle w:val="TableRow"/>
              <w:rPr>
                <w:sz w:val="22"/>
              </w:rPr>
            </w:pPr>
            <w:r w:rsidRPr="00446076">
              <w:rPr>
                <w:sz w:val="22"/>
              </w:rPr>
              <w:t>subscriptions</w:t>
            </w:r>
          </w:p>
          <w:p w14:paraId="2A7D551E" w14:textId="5F32A7A4" w:rsidR="007D2D78" w:rsidRDefault="007D2D78" w:rsidP="007D2D78">
            <w:pPr>
              <w:pStyle w:val="TableRow"/>
              <w:rPr>
                <w:i/>
                <w:sz w:val="22"/>
              </w:rPr>
            </w:pPr>
            <w:r w:rsidRPr="00446076">
              <w:rPr>
                <w:sz w:val="22"/>
              </w:rPr>
              <w:t>(£6,000)</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D76" w14:textId="059B445F" w:rsidR="007D2D78" w:rsidRPr="00C42B5C" w:rsidRDefault="007D2D78" w:rsidP="007D2D78">
            <w:pPr>
              <w:pStyle w:val="TableRowCentered"/>
              <w:ind w:left="0"/>
              <w:jc w:val="left"/>
              <w:rPr>
                <w:sz w:val="22"/>
                <w:szCs w:val="22"/>
              </w:rPr>
            </w:pPr>
            <w:r w:rsidRPr="00C42B5C">
              <w:rPr>
                <w:sz w:val="22"/>
                <w:szCs w:val="22"/>
              </w:rPr>
              <w:t xml:space="preserve">Online learning packages to support recovery, knowledge retention and consolidation of learning. This will be used for homework and reinforcing  | EEF </w:t>
            </w:r>
          </w:p>
          <w:p w14:paraId="309AAFE7" w14:textId="271D36EF" w:rsidR="007D2D78" w:rsidRDefault="007D2D78" w:rsidP="007D2D78">
            <w:pPr>
              <w:pStyle w:val="TableRowCentered"/>
              <w:ind w:left="0"/>
              <w:jc w:val="left"/>
            </w:pPr>
          </w:p>
          <w:p w14:paraId="26D1321D" w14:textId="152E96E9" w:rsidR="007D2D78" w:rsidRDefault="002B6B11" w:rsidP="007D2D78">
            <w:pPr>
              <w:pStyle w:val="TableRowCentered"/>
              <w:ind w:left="0"/>
              <w:jc w:val="left"/>
            </w:pPr>
            <w:hyperlink r:id="rId15" w:history="1">
              <w:r w:rsidR="007D2D78" w:rsidRPr="00F91F4A">
                <w:rPr>
                  <w:rStyle w:val="Hyperlink"/>
                </w:rPr>
                <w:t>https://educationendowmentfoundation.org.uk/education-evidence/teaching-learning-toolkit/homework</w:t>
              </w:r>
            </w:hyperlink>
          </w:p>
          <w:p w14:paraId="200189CA" w14:textId="77777777" w:rsidR="007D2D78" w:rsidRDefault="007D2D78" w:rsidP="007D2D78">
            <w:pPr>
              <w:pStyle w:val="TableRowCentered"/>
              <w:ind w:left="0"/>
              <w:jc w:val="left"/>
            </w:pPr>
          </w:p>
          <w:p w14:paraId="2A7D551F" w14:textId="4CF1C67F" w:rsidR="007D2D78" w:rsidRDefault="007D2D78" w:rsidP="007D2D78">
            <w:pPr>
              <w:pStyle w:val="TableRowCentered"/>
              <w:jc w:val="left"/>
              <w:rPr>
                <w:sz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4776174" w:rsidR="007D2D78" w:rsidRDefault="007D2D78" w:rsidP="007D2D78">
            <w:pPr>
              <w:pStyle w:val="TableRowCentered"/>
              <w:jc w:val="left"/>
              <w:rPr>
                <w:sz w:val="22"/>
              </w:rPr>
            </w:pPr>
            <w:r>
              <w:rPr>
                <w:sz w:val="22"/>
              </w:rPr>
              <w:t xml:space="preserve">1, 2 </w:t>
            </w:r>
          </w:p>
        </w:tc>
      </w:tr>
      <w:tr w:rsidR="007D2D78" w14:paraId="751785F9" w14:textId="77777777" w:rsidTr="007D2D78">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2F78" w14:textId="77777777" w:rsidR="007D2D78" w:rsidRPr="00C42B5C" w:rsidRDefault="007D2D78" w:rsidP="007D2D78">
            <w:pPr>
              <w:pStyle w:val="TableRow"/>
              <w:rPr>
                <w:i/>
                <w:sz w:val="22"/>
              </w:rPr>
            </w:pPr>
            <w:r w:rsidRPr="00C42B5C">
              <w:rPr>
                <w:i/>
                <w:sz w:val="22"/>
              </w:rPr>
              <w:t>Revision guides,</w:t>
            </w:r>
          </w:p>
          <w:p w14:paraId="343EFED6" w14:textId="77777777" w:rsidR="007D2D78" w:rsidRPr="00C42B5C" w:rsidRDefault="007D2D78" w:rsidP="007D2D78">
            <w:pPr>
              <w:pStyle w:val="TableRow"/>
              <w:rPr>
                <w:i/>
                <w:sz w:val="22"/>
              </w:rPr>
            </w:pPr>
            <w:r w:rsidRPr="00C42B5C">
              <w:rPr>
                <w:i/>
                <w:sz w:val="22"/>
              </w:rPr>
              <w:t>resources and</w:t>
            </w:r>
          </w:p>
          <w:p w14:paraId="6FC3357A" w14:textId="77777777" w:rsidR="007D2D78" w:rsidRPr="00C42B5C" w:rsidRDefault="007D2D78" w:rsidP="007D2D78">
            <w:pPr>
              <w:pStyle w:val="TableRow"/>
              <w:rPr>
                <w:i/>
                <w:sz w:val="22"/>
              </w:rPr>
            </w:pPr>
            <w:r w:rsidRPr="00C42B5C">
              <w:rPr>
                <w:i/>
                <w:sz w:val="22"/>
              </w:rPr>
              <w:t>equipment</w:t>
            </w:r>
          </w:p>
          <w:p w14:paraId="7A478A28" w14:textId="7E36C1D4" w:rsidR="007D2D78" w:rsidRPr="002833B3" w:rsidRDefault="007D2D78" w:rsidP="007D2D78">
            <w:pPr>
              <w:pStyle w:val="TableRow"/>
              <w:rPr>
                <w:i/>
                <w:sz w:val="22"/>
              </w:rPr>
            </w:pPr>
            <w:r>
              <w:rPr>
                <w:i/>
                <w:sz w:val="22"/>
              </w:rPr>
              <w:t>(£3</w:t>
            </w:r>
            <w:r w:rsidRPr="00C42B5C">
              <w:rPr>
                <w:i/>
                <w:sz w:val="22"/>
              </w:rPr>
              <w:t>,000)</w:t>
            </w:r>
          </w:p>
        </w:tc>
        <w:tc>
          <w:tcPr>
            <w:tcW w:w="6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87D7" w14:textId="77777777" w:rsidR="007D2D78" w:rsidRDefault="007D2D78" w:rsidP="007D2D78">
            <w:pPr>
              <w:pStyle w:val="TableRowCentered"/>
              <w:ind w:left="0"/>
              <w:jc w:val="left"/>
              <w:rPr>
                <w:sz w:val="22"/>
                <w:szCs w:val="22"/>
              </w:rPr>
            </w:pPr>
          </w:p>
          <w:p w14:paraId="77341DAB" w14:textId="77777777" w:rsidR="007D2D78" w:rsidRDefault="007D2D78" w:rsidP="007D2D78">
            <w:pPr>
              <w:pStyle w:val="TableRowCentered"/>
              <w:ind w:left="0"/>
              <w:jc w:val="left"/>
              <w:rPr>
                <w:sz w:val="22"/>
                <w:szCs w:val="22"/>
              </w:rPr>
            </w:pPr>
          </w:p>
          <w:p w14:paraId="258C1A24" w14:textId="18DD2729" w:rsidR="007D2D78" w:rsidRPr="00C42B5C" w:rsidRDefault="007D2D78" w:rsidP="007D2D78">
            <w:pPr>
              <w:pStyle w:val="TableRowCentered"/>
              <w:ind w:left="0"/>
              <w:jc w:val="left"/>
              <w:rPr>
                <w:sz w:val="22"/>
                <w:szCs w:val="22"/>
              </w:rPr>
            </w:pPr>
            <w:r w:rsidRPr="00C42B5C">
              <w:rPr>
                <w:sz w:val="22"/>
                <w:szCs w:val="22"/>
              </w:rPr>
              <w:t>Revision guides to support attainment, recovery, knowledge retention, consolidation of learning and exam practice. Other equipment such as stationery, art 1,4,5 8 supplies, food ingredients and calculators enable DP pupils equal opportunity in accessing the curriculum.</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3A96E" w14:textId="2C88A96A" w:rsidR="007D2D78" w:rsidRDefault="007D2D78" w:rsidP="007D2D78">
            <w:pPr>
              <w:pStyle w:val="TableRowCentered"/>
              <w:jc w:val="left"/>
              <w:rPr>
                <w:sz w:val="22"/>
              </w:rPr>
            </w:pPr>
            <w:r>
              <w:rPr>
                <w:sz w:val="22"/>
              </w:rPr>
              <w:t>1</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5F826AD" w:rsidR="00E66558" w:rsidRDefault="009D71E8">
      <w:r>
        <w:t xml:space="preserve">Budgeted cost: £ </w:t>
      </w:r>
      <w:r w:rsidR="00252F9E">
        <w:rPr>
          <w:i/>
          <w:iCs/>
        </w:rPr>
        <w:t>9,000</w:t>
      </w:r>
    </w:p>
    <w:tbl>
      <w:tblPr>
        <w:tblW w:w="5452" w:type="pct"/>
        <w:tblCellMar>
          <w:left w:w="10" w:type="dxa"/>
          <w:right w:w="10" w:type="dxa"/>
        </w:tblCellMar>
        <w:tblLook w:val="04A0" w:firstRow="1" w:lastRow="0" w:firstColumn="1" w:lastColumn="0" w:noHBand="0" w:noVBand="1"/>
      </w:tblPr>
      <w:tblGrid>
        <w:gridCol w:w="1805"/>
        <w:gridCol w:w="6979"/>
        <w:gridCol w:w="1560"/>
      </w:tblGrid>
      <w:tr w:rsidR="00E66558" w14:paraId="2A7D5528" w14:textId="77777777" w:rsidTr="0061282E">
        <w:tc>
          <w:tcPr>
            <w:tcW w:w="1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69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61282E">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9D663A8" w:rsidR="00E66558" w:rsidRPr="00C42B5C" w:rsidRDefault="00C42B5C">
            <w:pPr>
              <w:pStyle w:val="TableRow"/>
              <w:rPr>
                <w:sz w:val="22"/>
                <w:szCs w:val="22"/>
              </w:rPr>
            </w:pPr>
            <w:r w:rsidRPr="00C42B5C">
              <w:rPr>
                <w:sz w:val="22"/>
                <w:szCs w:val="22"/>
              </w:rPr>
              <w:t>Mytutor online lessons (£4,000)</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B0B6" w14:textId="61747726" w:rsidR="00C84910" w:rsidRDefault="002B6B11">
            <w:pPr>
              <w:pStyle w:val="TableRowCentered"/>
              <w:jc w:val="left"/>
              <w:rPr>
                <w:sz w:val="22"/>
                <w:szCs w:val="22"/>
              </w:rPr>
            </w:pPr>
            <w:hyperlink r:id="rId16" w:history="1">
              <w:r w:rsidR="00C84910" w:rsidRPr="00105D7D">
                <w:rPr>
                  <w:rStyle w:val="Hyperlink"/>
                  <w:sz w:val="22"/>
                  <w:szCs w:val="22"/>
                </w:rPr>
                <w:t>https://educationendowmentfoundation.org.uk/education-evidence/teaching-learning-toolkit/one-to-one-tuition</w:t>
              </w:r>
            </w:hyperlink>
            <w:r w:rsidR="00C84910">
              <w:rPr>
                <w:sz w:val="22"/>
                <w:szCs w:val="22"/>
              </w:rPr>
              <w:t xml:space="preserve"> </w:t>
            </w:r>
          </w:p>
          <w:p w14:paraId="3C749EF7" w14:textId="2EAE0460" w:rsidR="00E66558" w:rsidRDefault="00C42B5C">
            <w:pPr>
              <w:pStyle w:val="TableRowCentered"/>
              <w:jc w:val="left"/>
              <w:rPr>
                <w:sz w:val="22"/>
                <w:szCs w:val="22"/>
              </w:rPr>
            </w:pPr>
            <w:r w:rsidRPr="00C42B5C">
              <w:rPr>
                <w:sz w:val="22"/>
                <w:szCs w:val="22"/>
              </w:rPr>
              <w:t>Focus on supporting DP pupils in English and Maths</w:t>
            </w:r>
          </w:p>
          <w:p w14:paraId="2A7D552A" w14:textId="27BDEE88" w:rsidR="00C84910" w:rsidRPr="00C42B5C" w:rsidRDefault="00C84910">
            <w:pPr>
              <w:pStyle w:val="TableRowCentered"/>
              <w:jc w:val="left"/>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EC7AC7F" w:rsidR="00E66558" w:rsidRDefault="0061282E">
            <w:pPr>
              <w:pStyle w:val="TableRowCentered"/>
              <w:jc w:val="left"/>
              <w:rPr>
                <w:sz w:val="22"/>
              </w:rPr>
            </w:pPr>
            <w:r>
              <w:rPr>
                <w:sz w:val="22"/>
              </w:rPr>
              <w:t>1, 2</w:t>
            </w:r>
          </w:p>
        </w:tc>
      </w:tr>
      <w:tr w:rsidR="00E66558" w14:paraId="2A7D5530" w14:textId="77777777" w:rsidTr="0061282E">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413DD" w14:textId="77777777" w:rsidR="00C42B5C" w:rsidRPr="00C42B5C" w:rsidRDefault="00C42B5C" w:rsidP="00C42B5C">
            <w:pPr>
              <w:pStyle w:val="TableRow"/>
              <w:rPr>
                <w:i/>
                <w:sz w:val="22"/>
              </w:rPr>
            </w:pPr>
            <w:r w:rsidRPr="00C42B5C">
              <w:rPr>
                <w:i/>
                <w:sz w:val="22"/>
              </w:rPr>
              <w:lastRenderedPageBreak/>
              <w:t>Additional</w:t>
            </w:r>
          </w:p>
          <w:p w14:paraId="242AEB44" w14:textId="77777777" w:rsidR="00C42B5C" w:rsidRPr="00C42B5C" w:rsidRDefault="00C42B5C" w:rsidP="00C42B5C">
            <w:pPr>
              <w:pStyle w:val="TableRow"/>
              <w:rPr>
                <w:i/>
                <w:sz w:val="22"/>
              </w:rPr>
            </w:pPr>
            <w:r w:rsidRPr="00C42B5C">
              <w:rPr>
                <w:i/>
                <w:sz w:val="22"/>
              </w:rPr>
              <w:t>intervention in</w:t>
            </w:r>
          </w:p>
          <w:p w14:paraId="1D904B6C" w14:textId="77777777" w:rsidR="00C42B5C" w:rsidRPr="00C42B5C" w:rsidRDefault="00C42B5C" w:rsidP="00C42B5C">
            <w:pPr>
              <w:pStyle w:val="TableRow"/>
              <w:rPr>
                <w:i/>
                <w:sz w:val="22"/>
              </w:rPr>
            </w:pPr>
            <w:r w:rsidRPr="00C42B5C">
              <w:rPr>
                <w:i/>
                <w:sz w:val="22"/>
              </w:rPr>
              <w:t>holidays / weekends</w:t>
            </w:r>
          </w:p>
          <w:p w14:paraId="2A7D552D" w14:textId="43AA3F28" w:rsidR="00E66558" w:rsidRDefault="00C42B5C" w:rsidP="00C42B5C">
            <w:pPr>
              <w:pStyle w:val="TableRow"/>
              <w:rPr>
                <w:i/>
                <w:sz w:val="22"/>
              </w:rPr>
            </w:pPr>
            <w:r w:rsidRPr="00C42B5C">
              <w:rPr>
                <w:i/>
                <w:sz w:val="22"/>
              </w:rPr>
              <w:t>(£5,000)</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24622B0" w:rsidR="00E66558" w:rsidRPr="00C42B5C" w:rsidRDefault="00C42B5C">
            <w:pPr>
              <w:pStyle w:val="TableRowCentered"/>
              <w:jc w:val="left"/>
              <w:rPr>
                <w:sz w:val="22"/>
                <w:szCs w:val="22"/>
              </w:rPr>
            </w:pPr>
            <w:r w:rsidRPr="00C42B5C">
              <w:rPr>
                <w:sz w:val="22"/>
                <w:szCs w:val="22"/>
              </w:rPr>
              <w:t>Positive feedback from pupil and parent voice, as well as increased pupil achievement and wellbeing (PASS)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ACF6B5D" w:rsidR="00E66558" w:rsidRDefault="0061282E">
            <w:pPr>
              <w:pStyle w:val="TableRowCentered"/>
              <w:jc w:val="left"/>
              <w:rPr>
                <w:sz w:val="22"/>
              </w:rPr>
            </w:pPr>
            <w:r>
              <w:rPr>
                <w:sz w:val="22"/>
              </w:rPr>
              <w:t>4, 5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585BA1A" w:rsidR="00E66558" w:rsidRPr="0061282E" w:rsidRDefault="009D71E8">
      <w:pPr>
        <w:spacing w:before="240" w:after="120"/>
      </w:pPr>
      <w:r>
        <w:t xml:space="preserve">Budgeted cost: £ </w:t>
      </w:r>
      <w:r w:rsidR="007D2D78">
        <w:t>20, 033</w:t>
      </w:r>
    </w:p>
    <w:tbl>
      <w:tblPr>
        <w:tblW w:w="5452" w:type="pct"/>
        <w:tblCellMar>
          <w:left w:w="10" w:type="dxa"/>
          <w:right w:w="10" w:type="dxa"/>
        </w:tblCellMar>
        <w:tblLook w:val="04A0" w:firstRow="1" w:lastRow="0" w:firstColumn="1" w:lastColumn="0" w:noHBand="0" w:noVBand="1"/>
      </w:tblPr>
      <w:tblGrid>
        <w:gridCol w:w="1611"/>
        <w:gridCol w:w="7031"/>
        <w:gridCol w:w="1702"/>
      </w:tblGrid>
      <w:tr w:rsidR="00E66558" w14:paraId="2A7D5537"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70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B0817" w14:textId="77777777" w:rsidR="00E66558" w:rsidRDefault="00C42B5C">
            <w:pPr>
              <w:pStyle w:val="TableRow"/>
              <w:rPr>
                <w:sz w:val="22"/>
                <w:szCs w:val="22"/>
              </w:rPr>
            </w:pPr>
            <w:r w:rsidRPr="00C42B5C">
              <w:rPr>
                <w:sz w:val="22"/>
                <w:szCs w:val="22"/>
              </w:rPr>
              <w:t>Uniform support</w:t>
            </w:r>
          </w:p>
          <w:p w14:paraId="2A7D5538" w14:textId="2BDD75EE" w:rsidR="00C42B5C" w:rsidRPr="00C42B5C" w:rsidRDefault="00C77C33">
            <w:pPr>
              <w:pStyle w:val="TableRow"/>
              <w:rPr>
                <w:sz w:val="22"/>
                <w:szCs w:val="22"/>
              </w:rPr>
            </w:pPr>
            <w:r>
              <w:rPr>
                <w:sz w:val="22"/>
                <w:szCs w:val="22"/>
              </w:rPr>
              <w:t>(£6</w:t>
            </w:r>
            <w:r w:rsidR="00C42B5C">
              <w:rPr>
                <w:sz w:val="22"/>
                <w:szCs w:val="22"/>
              </w:rPr>
              <w:t>,000)</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AD07" w14:textId="2B5148E1" w:rsidR="00C84910" w:rsidRDefault="002B6B11">
            <w:pPr>
              <w:pStyle w:val="TableRowCentered"/>
              <w:jc w:val="left"/>
            </w:pPr>
            <w:hyperlink r:id="rId17" w:history="1">
              <w:r w:rsidR="00C84910" w:rsidRPr="00105D7D">
                <w:rPr>
                  <w:rStyle w:val="Hyperlink"/>
                </w:rPr>
                <w:t>https://www.gov.uk/government/publications/cost-of-school-uniforms/cost-of-school-uniforms</w:t>
              </w:r>
            </w:hyperlink>
            <w:r w:rsidR="00C84910">
              <w:t xml:space="preserve"> </w:t>
            </w:r>
          </w:p>
          <w:p w14:paraId="3217DF2E" w14:textId="77777777" w:rsidR="00C84910" w:rsidRDefault="00C84910">
            <w:pPr>
              <w:pStyle w:val="TableRowCentered"/>
              <w:jc w:val="left"/>
            </w:pPr>
          </w:p>
          <w:p w14:paraId="2A7D5539" w14:textId="1AF7DE4D" w:rsidR="00E66558" w:rsidRDefault="00C42B5C">
            <w:pPr>
              <w:pStyle w:val="TableRowCentered"/>
              <w:jc w:val="left"/>
              <w:rPr>
                <w:sz w:val="22"/>
              </w:rPr>
            </w:pPr>
            <w:r>
              <w:t>Local unemployment and deprivation higher than national average, increase by 5.2% on FSM over last 2 years and parents increasingly</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E39DFFA" w:rsidR="00E66558" w:rsidRDefault="0061282E">
            <w:pPr>
              <w:pStyle w:val="TableRowCentered"/>
              <w:jc w:val="left"/>
              <w:rPr>
                <w:sz w:val="22"/>
              </w:rPr>
            </w:pPr>
            <w:r>
              <w:rPr>
                <w:sz w:val="22"/>
              </w:rPr>
              <w:t>3, 4, 5</w:t>
            </w:r>
          </w:p>
        </w:tc>
      </w:tr>
      <w:tr w:rsidR="00E66558" w14:paraId="2A7D553F"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98C5FD3" w:rsidR="00E66558" w:rsidRPr="00C42B5C" w:rsidRDefault="00C42B5C">
            <w:pPr>
              <w:pStyle w:val="TableRow"/>
              <w:rPr>
                <w:sz w:val="22"/>
              </w:rPr>
            </w:pPr>
            <w:r>
              <w:t>Transport support (£2,000)</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9A44" w14:textId="4DE15F34" w:rsidR="00C84910" w:rsidRDefault="002B6B11">
            <w:pPr>
              <w:pStyle w:val="TableRowCentered"/>
              <w:jc w:val="left"/>
            </w:pPr>
            <w:hyperlink r:id="rId18" w:history="1">
              <w:r w:rsidR="00C84910" w:rsidRPr="00105D7D">
                <w:rPr>
                  <w:rStyle w:val="Hyperlink"/>
                </w:rPr>
                <w:t>https://www.gov.uk/free-school-transport</w:t>
              </w:r>
            </w:hyperlink>
            <w:r w:rsidR="00C84910">
              <w:t xml:space="preserve"> </w:t>
            </w:r>
          </w:p>
          <w:p w14:paraId="51E93A9B" w14:textId="77777777" w:rsidR="00C84910" w:rsidRDefault="00C84910">
            <w:pPr>
              <w:pStyle w:val="TableRowCentered"/>
              <w:jc w:val="left"/>
            </w:pPr>
          </w:p>
          <w:p w14:paraId="2A7D553D" w14:textId="06FDCE8A" w:rsidR="00E66558" w:rsidRDefault="00C42B5C">
            <w:pPr>
              <w:pStyle w:val="TableRowCentered"/>
              <w:jc w:val="left"/>
              <w:rPr>
                <w:sz w:val="22"/>
              </w:rPr>
            </w:pPr>
            <w:r>
              <w:t>Local deprivation / need following parental illness or unemployment means pupils sometimes need emergency access to transport to attend school / medical appointments</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DD504AB" w:rsidR="00E66558" w:rsidRDefault="0061282E">
            <w:pPr>
              <w:pStyle w:val="TableRowCentered"/>
              <w:jc w:val="left"/>
              <w:rPr>
                <w:sz w:val="22"/>
              </w:rPr>
            </w:pPr>
            <w:r>
              <w:rPr>
                <w:sz w:val="22"/>
              </w:rPr>
              <w:t>3, 4</w:t>
            </w:r>
          </w:p>
        </w:tc>
      </w:tr>
      <w:tr w:rsidR="00C42B5C" w14:paraId="5F81F627"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8D774" w14:textId="77C8B3CA" w:rsidR="00C42B5C" w:rsidRDefault="00C42B5C">
            <w:pPr>
              <w:pStyle w:val="TableRow"/>
              <w:rPr>
                <w:i/>
                <w:sz w:val="22"/>
              </w:rPr>
            </w:pPr>
            <w:r>
              <w:t>Brilliant club (£6500)</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3EDB" w14:textId="63BE71CB" w:rsidR="00C42B5C" w:rsidRDefault="00C42B5C">
            <w:pPr>
              <w:pStyle w:val="TableRowCentered"/>
              <w:jc w:val="left"/>
              <w:rPr>
                <w:sz w:val="22"/>
              </w:rPr>
            </w:pPr>
            <w:r>
              <w:t>Increased aspiration leading to high and increasing post16 attendance at the local 6 th form college and increase in grades 7-9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1680" w14:textId="62C3ACE6" w:rsidR="00C42B5C" w:rsidRDefault="0061282E">
            <w:pPr>
              <w:pStyle w:val="TableRowCentered"/>
              <w:jc w:val="left"/>
              <w:rPr>
                <w:sz w:val="22"/>
              </w:rPr>
            </w:pPr>
            <w:r>
              <w:rPr>
                <w:sz w:val="22"/>
              </w:rPr>
              <w:t>1, 2</w:t>
            </w:r>
          </w:p>
        </w:tc>
      </w:tr>
      <w:tr w:rsidR="00C42B5C" w14:paraId="6E53A404"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276D" w14:textId="29FDCB37" w:rsidR="00C42B5C" w:rsidRDefault="00C42B5C">
            <w:pPr>
              <w:pStyle w:val="TableRow"/>
            </w:pPr>
            <w:r>
              <w:t>DoE / Ca</w:t>
            </w:r>
            <w:r w:rsidR="00C77C33">
              <w:t>dets / Music lessons support (£2</w:t>
            </w:r>
            <w:r>
              <w:t>,000)</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62A" w14:textId="182239D2" w:rsidR="00C84910" w:rsidRDefault="002B6B11">
            <w:pPr>
              <w:pStyle w:val="TableRowCentered"/>
              <w:jc w:val="left"/>
            </w:pPr>
            <w:hyperlink r:id="rId19" w:history="1">
              <w:r w:rsidR="00C84910" w:rsidRPr="00105D7D">
                <w:rPr>
                  <w:rStyle w:val="Hyperlink"/>
                </w:rPr>
                <w:t>https://www.trueeducationpartnerships.com/schools/what-is-ofsteds-cultural-capital/</w:t>
              </w:r>
            </w:hyperlink>
            <w:r w:rsidR="00C84910">
              <w:t xml:space="preserve"> </w:t>
            </w:r>
          </w:p>
          <w:p w14:paraId="3224FA4A" w14:textId="77777777" w:rsidR="00C84910" w:rsidRDefault="00C84910">
            <w:pPr>
              <w:pStyle w:val="TableRowCentered"/>
              <w:jc w:val="left"/>
            </w:pPr>
          </w:p>
          <w:p w14:paraId="4E8D6334" w14:textId="7E879325" w:rsidR="00C42B5C" w:rsidRDefault="00C42B5C">
            <w:pPr>
              <w:pStyle w:val="TableRowCentered"/>
              <w:jc w:val="left"/>
            </w:pPr>
            <w:r>
              <w:t>PASS survey shows increased pupil satisfaction in school</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9D3B" w14:textId="0D03DADE" w:rsidR="00C42B5C" w:rsidRDefault="0061282E">
            <w:pPr>
              <w:pStyle w:val="TableRowCentered"/>
              <w:jc w:val="left"/>
              <w:rPr>
                <w:sz w:val="22"/>
              </w:rPr>
            </w:pPr>
            <w:r>
              <w:rPr>
                <w:sz w:val="22"/>
              </w:rPr>
              <w:t xml:space="preserve">4, 5 </w:t>
            </w:r>
          </w:p>
        </w:tc>
      </w:tr>
      <w:tr w:rsidR="00C42B5C" w14:paraId="164BCEE8"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6765" w14:textId="14947871" w:rsidR="00C42B5C" w:rsidRDefault="00C42B5C">
            <w:pPr>
              <w:pStyle w:val="TableRow"/>
            </w:pPr>
            <w:r>
              <w:t>Trips and visits (£10000)</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199D3" w14:textId="165C8E19" w:rsidR="00C84910" w:rsidRDefault="002B6B11">
            <w:pPr>
              <w:pStyle w:val="TableRowCentered"/>
              <w:jc w:val="left"/>
            </w:pPr>
            <w:hyperlink r:id="rId20" w:history="1">
              <w:r w:rsidR="00C84910" w:rsidRPr="00105D7D">
                <w:rPr>
                  <w:rStyle w:val="Hyperlink"/>
                </w:rPr>
                <w:t>https://www.trueeducationpartnerships.com/schools/what-is-ofsteds-cultural-capital/</w:t>
              </w:r>
            </w:hyperlink>
            <w:r w:rsidR="00C84910">
              <w:t xml:space="preserve"> </w:t>
            </w:r>
          </w:p>
          <w:p w14:paraId="0D640342" w14:textId="77777777" w:rsidR="00C84910" w:rsidRDefault="00C84910">
            <w:pPr>
              <w:pStyle w:val="TableRowCentered"/>
              <w:jc w:val="left"/>
            </w:pPr>
          </w:p>
          <w:p w14:paraId="07833A63" w14:textId="59758B0B" w:rsidR="00C42B5C" w:rsidRDefault="00C42B5C">
            <w:pPr>
              <w:pStyle w:val="TableRowCentered"/>
              <w:jc w:val="left"/>
            </w:pPr>
            <w:r>
              <w:t xml:space="preserve">Evidence from pupil voice and attainment of </w:t>
            </w:r>
            <w:r w:rsidR="00C77C33">
              <w:t>impact</w:t>
            </w:r>
            <w:r>
              <w:t xml:space="preserve"> of curricular related trips and participation in extra-curricular offer</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38E02" w14:textId="55337D24" w:rsidR="00C42B5C" w:rsidRDefault="0061282E">
            <w:pPr>
              <w:pStyle w:val="TableRowCentered"/>
              <w:jc w:val="left"/>
              <w:rPr>
                <w:sz w:val="22"/>
              </w:rPr>
            </w:pPr>
            <w:r>
              <w:rPr>
                <w:sz w:val="22"/>
              </w:rPr>
              <w:t xml:space="preserve">1, 2, 3, 4, 5 </w:t>
            </w:r>
          </w:p>
        </w:tc>
      </w:tr>
      <w:tr w:rsidR="00C77C33" w14:paraId="1EDB8CB7"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B75E" w14:textId="77777777" w:rsidR="00C77C33" w:rsidRDefault="00C77C33">
            <w:pPr>
              <w:pStyle w:val="TableRow"/>
            </w:pPr>
            <w:r>
              <w:t xml:space="preserve">Unifrog careers subscription </w:t>
            </w:r>
          </w:p>
          <w:p w14:paraId="4FD42C69" w14:textId="5A320682" w:rsidR="00C77C33" w:rsidRDefault="00C77C33">
            <w:pPr>
              <w:pStyle w:val="TableRow"/>
            </w:pPr>
            <w:r>
              <w:t>(£1, 833)</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93BA" w14:textId="77777777" w:rsidR="0061282E" w:rsidRDefault="002B6B11" w:rsidP="0061282E">
            <w:pPr>
              <w:pStyle w:val="TableRowCentered"/>
              <w:jc w:val="left"/>
            </w:pPr>
            <w:hyperlink r:id="rId21" w:history="1">
              <w:r w:rsidR="0061282E" w:rsidRPr="00105D7D">
                <w:rPr>
                  <w:rStyle w:val="Hyperlink"/>
                </w:rPr>
                <w:t>https://www.trueeducationpartnerships.com/schools/what-is-ofsteds-cultural-capital/</w:t>
              </w:r>
            </w:hyperlink>
            <w:r w:rsidR="0061282E">
              <w:t xml:space="preserve"> </w:t>
            </w:r>
          </w:p>
          <w:p w14:paraId="19B887B9" w14:textId="77777777" w:rsidR="00C77C33" w:rsidRDefault="00C77C33">
            <w:pPr>
              <w:pStyle w:val="TableRowCentered"/>
              <w:jc w:val="left"/>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73EF" w14:textId="0762AA41" w:rsidR="00C77C33" w:rsidRDefault="0061282E">
            <w:pPr>
              <w:pStyle w:val="TableRowCentered"/>
              <w:jc w:val="left"/>
              <w:rPr>
                <w:sz w:val="22"/>
              </w:rPr>
            </w:pPr>
            <w:r>
              <w:rPr>
                <w:sz w:val="22"/>
              </w:rPr>
              <w:t>3</w:t>
            </w:r>
          </w:p>
        </w:tc>
      </w:tr>
      <w:tr w:rsidR="00C77C33" w14:paraId="79BEC6DA"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DAEB" w14:textId="77777777" w:rsidR="00C77C33" w:rsidRDefault="00C77C33">
            <w:pPr>
              <w:pStyle w:val="TableRow"/>
            </w:pPr>
            <w:r>
              <w:t>Passport to success</w:t>
            </w:r>
          </w:p>
          <w:p w14:paraId="72161B6C" w14:textId="2CA367BF" w:rsidR="00C77C33" w:rsidRDefault="00C77C33">
            <w:pPr>
              <w:pStyle w:val="TableRow"/>
            </w:pPr>
            <w:r>
              <w:lastRenderedPageBreak/>
              <w:t xml:space="preserve">(£2,000) </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F56C" w14:textId="77777777" w:rsidR="00C77C33" w:rsidRDefault="00C77C33">
            <w:pPr>
              <w:pStyle w:val="TableRowCentered"/>
              <w:jc w:val="left"/>
            </w:pPr>
          </w:p>
          <w:p w14:paraId="5526E02A" w14:textId="458730EE" w:rsidR="00C77C33" w:rsidRDefault="00C77C33">
            <w:pPr>
              <w:pStyle w:val="TableRowCentered"/>
              <w:jc w:val="left"/>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94AE" w14:textId="4DED41CE" w:rsidR="00C77C33" w:rsidRDefault="0061282E">
            <w:pPr>
              <w:pStyle w:val="TableRowCentered"/>
              <w:jc w:val="left"/>
              <w:rPr>
                <w:sz w:val="22"/>
              </w:rPr>
            </w:pPr>
            <w:r>
              <w:rPr>
                <w:sz w:val="22"/>
              </w:rPr>
              <w:t>1, 2</w:t>
            </w:r>
          </w:p>
        </w:tc>
      </w:tr>
      <w:tr w:rsidR="00C42B5C" w14:paraId="76C3738F" w14:textId="77777777" w:rsidTr="0061282E">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5845E" w14:textId="77777777" w:rsidR="00EE76A8" w:rsidRDefault="00EE76A8" w:rsidP="00EE76A8">
            <w:pPr>
              <w:pStyle w:val="TableRow"/>
            </w:pPr>
            <w:r>
              <w:t>Improve attendance and Attitude to</w:t>
            </w:r>
          </w:p>
          <w:p w14:paraId="6230DF75" w14:textId="77777777" w:rsidR="00C42B5C" w:rsidRDefault="00EE76A8" w:rsidP="00EE76A8">
            <w:pPr>
              <w:pStyle w:val="TableRow"/>
            </w:pPr>
            <w:r>
              <w:t>Learning (ATL)</w:t>
            </w:r>
          </w:p>
          <w:p w14:paraId="5E429E59" w14:textId="77777777" w:rsidR="00EE76A8" w:rsidRDefault="00EE76A8" w:rsidP="00EE76A8">
            <w:pPr>
              <w:pStyle w:val="TableRow"/>
            </w:pPr>
            <w:r>
              <w:t>Attendance, behaviour, social, emotional and</w:t>
            </w:r>
          </w:p>
          <w:p w14:paraId="3CC1A276" w14:textId="77777777" w:rsidR="00EE76A8" w:rsidRDefault="00EE76A8" w:rsidP="00EE76A8">
            <w:pPr>
              <w:pStyle w:val="TableRow"/>
            </w:pPr>
            <w:r>
              <w:t>wellbeing support, primarily from the Student</w:t>
            </w:r>
          </w:p>
          <w:p w14:paraId="754D60B6" w14:textId="6B825272" w:rsidR="00EE76A8" w:rsidRDefault="00EE76A8" w:rsidP="00EE76A8">
            <w:pPr>
              <w:pStyle w:val="TableRow"/>
            </w:pPr>
            <w:r>
              <w:t>Support team and Progress Leaders</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3001" w14:textId="7338761B" w:rsidR="00C84910" w:rsidRDefault="002B6B11">
            <w:pPr>
              <w:pStyle w:val="TableRowCentered"/>
              <w:jc w:val="left"/>
            </w:pPr>
            <w:hyperlink r:id="rId22" w:history="1">
              <w:r w:rsidR="00C84910" w:rsidRPr="00105D7D">
                <w:rPr>
                  <w:rStyle w:val="Hyperlink"/>
                </w:rPr>
                <w:t>https://www.gov.uk/government/publications/school-attendance/framework-for-securing-full-attendance-actions-for-schools-and-local-authorities</w:t>
              </w:r>
            </w:hyperlink>
            <w:r w:rsidR="00C84910">
              <w:t xml:space="preserve"> </w:t>
            </w:r>
          </w:p>
          <w:p w14:paraId="419005E2" w14:textId="77777777" w:rsidR="00C84910" w:rsidRDefault="00C84910">
            <w:pPr>
              <w:pStyle w:val="TableRowCentered"/>
              <w:jc w:val="left"/>
            </w:pPr>
          </w:p>
          <w:p w14:paraId="34841C6E" w14:textId="75A477AC" w:rsidR="00C42B5C" w:rsidRDefault="00EE76A8">
            <w:pPr>
              <w:pStyle w:val="TableRowCentered"/>
              <w:jc w:val="left"/>
            </w:pPr>
            <w:r>
              <w:t>Behaviour intervention is shown to add 4 months in EEF Toolkit.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7A9B" w14:textId="4E001DAA" w:rsidR="00C42B5C" w:rsidRDefault="0061282E">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7BC8E224" w:rsidR="00E66558" w:rsidRDefault="009D71E8" w:rsidP="00120AB1">
      <w:r>
        <w:rPr>
          <w:b/>
          <w:bCs/>
          <w:color w:val="104F75"/>
          <w:sz w:val="28"/>
          <w:szCs w:val="28"/>
        </w:rPr>
        <w:t xml:space="preserve">Total budgeted cost: £ </w:t>
      </w:r>
      <w:r w:rsidR="00BE617B">
        <w:rPr>
          <w:i/>
          <w:iCs/>
          <w:color w:val="104F75"/>
          <w:sz w:val="28"/>
          <w:szCs w:val="28"/>
        </w:rPr>
        <w:t>175,848</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and 2020 to 2021 results will not be used to hold schools to account. </w:t>
            </w:r>
            <w:r>
              <w:rPr>
                <w:i/>
                <w:lang w:eastAsia="en-US"/>
              </w:rPr>
              <w:t>Given this, please point to any other pupil evaluations undertaken during the 2020 to 2021 academic year, for example, standardised teacher administered tests or diagnostic assessments such as rubrics or scales.</w:t>
            </w:r>
          </w:p>
          <w:p w14:paraId="2A7D5546" w14:textId="77777777" w:rsidR="00E66558" w:rsidRDefault="009D71E8">
            <w:r>
              <w:rPr>
                <w:i/>
                <w:lang w:eastAsia="en-US"/>
              </w:rPr>
              <w:t xml:space="preserve">If last year marked the end of a previous pupil premium strategy plan, what is your assessment of how successfully the intended outcomes of that plan were met?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B5915ED" w:rsidR="00E66558" w:rsidRDefault="00C42B5C">
            <w:pPr>
              <w:pStyle w:val="TableRow"/>
            </w:pPr>
            <w:r>
              <w:t xml:space="preserve">1:1 Tuition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4443D2A" w:rsidR="00E66558" w:rsidRDefault="00C42B5C">
            <w:pPr>
              <w:pStyle w:val="TableRowCentered"/>
              <w:jc w:val="left"/>
            </w:pPr>
            <w:r>
              <w:t>MyTutor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536DFCC" w:rsidR="00E66558" w:rsidRDefault="005B6ED4">
            <w:pPr>
              <w:pStyle w:val="TableRow"/>
            </w:pPr>
            <w:r>
              <w:t>DoFE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C71FF36" w:rsidR="00E66558" w:rsidRDefault="005B6ED4">
            <w:pPr>
              <w:pStyle w:val="TableRowCentered"/>
              <w:jc w:val="left"/>
            </w:pPr>
            <w:r>
              <w:t>Duke of Edinburgh Award Scheme</w:t>
            </w:r>
          </w:p>
        </w:tc>
      </w:tr>
      <w:tr w:rsidR="005B6ED4" w14:paraId="1D112C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AD87" w14:textId="60C28B94" w:rsidR="005B6ED4" w:rsidRDefault="005B6ED4">
            <w:pPr>
              <w:pStyle w:val="TableRow"/>
            </w:pPr>
            <w:r>
              <w:t xml:space="preserve">Brilliant Club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C6D8" w14:textId="36B833AC" w:rsidR="005B6ED4" w:rsidRDefault="005B6ED4">
            <w:pPr>
              <w:pStyle w:val="TableRowCentered"/>
              <w:jc w:val="left"/>
            </w:pPr>
            <w:r>
              <w:t xml:space="preserve">The Brilliant Club </w:t>
            </w:r>
          </w:p>
        </w:tc>
      </w:tr>
      <w:tr w:rsidR="005B6ED4" w14:paraId="7BDD6B0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B9EC" w14:textId="77777777" w:rsidR="005B6ED4" w:rsidRDefault="005B6ED4">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5FD7" w14:textId="77777777" w:rsidR="005B6ED4" w:rsidRDefault="005B6ED4">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6D87" w14:textId="77777777" w:rsidR="005B6ED4" w:rsidRPr="005B6ED4" w:rsidRDefault="005B6ED4" w:rsidP="005B6ED4">
            <w:pPr>
              <w:spacing w:before="120" w:after="120"/>
              <w:rPr>
                <w:b/>
              </w:rPr>
            </w:pPr>
            <w:r w:rsidRPr="005B6ED4">
              <w:rPr>
                <w:b/>
              </w:rPr>
              <w:t xml:space="preserve">Disadvantage first classrooms </w:t>
            </w:r>
          </w:p>
          <w:p w14:paraId="12FB5758" w14:textId="5F031B26" w:rsidR="005B6ED4" w:rsidRDefault="005B6ED4" w:rsidP="005B6ED4">
            <w:pPr>
              <w:spacing w:before="120" w:after="120"/>
            </w:pPr>
            <w:r>
              <w:t xml:space="preserve">All teaching staff are aware of the disadvantaged students in their classrooms and prioritise these students in classroom dialogue, activities, marking and opportunities. </w:t>
            </w:r>
          </w:p>
          <w:p w14:paraId="4C6BBF12" w14:textId="77777777" w:rsidR="005B6ED4" w:rsidRDefault="005B6ED4" w:rsidP="005B6ED4">
            <w:pPr>
              <w:spacing w:before="120" w:after="120"/>
            </w:pPr>
          </w:p>
          <w:p w14:paraId="7179B268" w14:textId="77777777" w:rsidR="005B6ED4" w:rsidRPr="005B6ED4" w:rsidRDefault="005B6ED4" w:rsidP="005B6ED4">
            <w:pPr>
              <w:spacing w:before="120" w:after="120"/>
              <w:rPr>
                <w:b/>
              </w:rPr>
            </w:pPr>
            <w:r w:rsidRPr="005B6ED4">
              <w:rPr>
                <w:b/>
              </w:rPr>
              <w:t xml:space="preserve">Population design </w:t>
            </w:r>
          </w:p>
          <w:p w14:paraId="6FA9F410" w14:textId="77777777" w:rsidR="00E66558" w:rsidRDefault="005B6ED4" w:rsidP="005B6ED4">
            <w:pPr>
              <w:spacing w:before="120" w:after="120"/>
            </w:pPr>
            <w:r>
              <w:t xml:space="preserve">Students are grouped in mixed ability groupings in all subjects in order to ensure diverse and rich experiences that develop students academically, socially and culturally; engaging curriculums that are responsive to individuals irrespective of starting points and background; and to prepare students with the skills for their next step into education or training. Research by Francis B et al in Reassessing Ability Grouping supports this approach and advocates for mixed ability groupings to ensure equity of attainment opportunities. </w:t>
            </w:r>
          </w:p>
          <w:p w14:paraId="2A7D5562" w14:textId="21FC85E9" w:rsidR="005B6ED4" w:rsidRPr="005B6ED4" w:rsidRDefault="005B6ED4" w:rsidP="005B6ED4">
            <w:pPr>
              <w:spacing w:before="120" w:after="120"/>
              <w:rPr>
                <w:iCs/>
              </w:rPr>
            </w:pPr>
          </w:p>
        </w:tc>
      </w:tr>
      <w:bookmarkEnd w:id="15"/>
      <w:bookmarkEnd w:id="16"/>
      <w:bookmarkEnd w:id="17"/>
    </w:tbl>
    <w:p w14:paraId="2A7D5564" w14:textId="77777777" w:rsidR="00E66558" w:rsidRDefault="00E66558"/>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69D8" w14:textId="77777777" w:rsidR="002B6B11" w:rsidRDefault="002B6B11">
      <w:pPr>
        <w:spacing w:after="0" w:line="240" w:lineRule="auto"/>
      </w:pPr>
      <w:r>
        <w:separator/>
      </w:r>
    </w:p>
  </w:endnote>
  <w:endnote w:type="continuationSeparator" w:id="0">
    <w:p w14:paraId="239E08A7" w14:textId="77777777" w:rsidR="002B6B11" w:rsidRDefault="002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2A9E103" w:rsidR="0009636F" w:rsidRDefault="0009636F">
    <w:pPr>
      <w:pStyle w:val="Footer"/>
      <w:ind w:firstLine="4513"/>
    </w:pPr>
    <w:r>
      <w:fldChar w:fldCharType="begin"/>
    </w:r>
    <w:r>
      <w:instrText xml:space="preserve"> PAGE </w:instrText>
    </w:r>
    <w:r>
      <w:fldChar w:fldCharType="separate"/>
    </w:r>
    <w:r w:rsidR="00E676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6F60" w14:textId="77777777" w:rsidR="002B6B11" w:rsidRDefault="002B6B11">
      <w:pPr>
        <w:spacing w:after="0" w:line="240" w:lineRule="auto"/>
      </w:pPr>
      <w:r>
        <w:separator/>
      </w:r>
    </w:p>
  </w:footnote>
  <w:footnote w:type="continuationSeparator" w:id="0">
    <w:p w14:paraId="59FD40AC" w14:textId="77777777" w:rsidR="002B6B11" w:rsidRDefault="002B6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09636F" w:rsidRDefault="00096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4575606"/>
    <w:multiLevelType w:val="hybridMultilevel"/>
    <w:tmpl w:val="6F86E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09636F"/>
    <w:rsid w:val="000B0739"/>
    <w:rsid w:val="00120AB1"/>
    <w:rsid w:val="0018553B"/>
    <w:rsid w:val="001B0769"/>
    <w:rsid w:val="00252F9E"/>
    <w:rsid w:val="00253163"/>
    <w:rsid w:val="002833B3"/>
    <w:rsid w:val="002B6B11"/>
    <w:rsid w:val="003427FA"/>
    <w:rsid w:val="00372719"/>
    <w:rsid w:val="004044AA"/>
    <w:rsid w:val="00407463"/>
    <w:rsid w:val="00446076"/>
    <w:rsid w:val="004A5AE8"/>
    <w:rsid w:val="004E3403"/>
    <w:rsid w:val="005B6ED4"/>
    <w:rsid w:val="005C755E"/>
    <w:rsid w:val="005F5FD8"/>
    <w:rsid w:val="0061282E"/>
    <w:rsid w:val="006A7707"/>
    <w:rsid w:val="006B0DE6"/>
    <w:rsid w:val="006C2936"/>
    <w:rsid w:val="006E7FB1"/>
    <w:rsid w:val="00741B9E"/>
    <w:rsid w:val="00741E05"/>
    <w:rsid w:val="00744FB7"/>
    <w:rsid w:val="007C26BF"/>
    <w:rsid w:val="007C2F04"/>
    <w:rsid w:val="007D2D78"/>
    <w:rsid w:val="007E202C"/>
    <w:rsid w:val="00815994"/>
    <w:rsid w:val="00821567"/>
    <w:rsid w:val="008E4F74"/>
    <w:rsid w:val="009158E8"/>
    <w:rsid w:val="009A4564"/>
    <w:rsid w:val="009C09FC"/>
    <w:rsid w:val="009D71E8"/>
    <w:rsid w:val="00A01215"/>
    <w:rsid w:val="00AA0232"/>
    <w:rsid w:val="00AA242F"/>
    <w:rsid w:val="00AB79F9"/>
    <w:rsid w:val="00AC1960"/>
    <w:rsid w:val="00B30F92"/>
    <w:rsid w:val="00BC426C"/>
    <w:rsid w:val="00BE5233"/>
    <w:rsid w:val="00BE617B"/>
    <w:rsid w:val="00BE6BB3"/>
    <w:rsid w:val="00C33945"/>
    <w:rsid w:val="00C42B5C"/>
    <w:rsid w:val="00C77C33"/>
    <w:rsid w:val="00C84910"/>
    <w:rsid w:val="00C93FCC"/>
    <w:rsid w:val="00CC5494"/>
    <w:rsid w:val="00CD2F88"/>
    <w:rsid w:val="00CD4297"/>
    <w:rsid w:val="00D33FE5"/>
    <w:rsid w:val="00E66558"/>
    <w:rsid w:val="00E6761C"/>
    <w:rsid w:val="00EC2875"/>
    <w:rsid w:val="00EC6B2F"/>
    <w:rsid w:val="00EE76A8"/>
    <w:rsid w:val="00F05FD0"/>
    <w:rsid w:val="00F5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support-for-schools/school-improvement-planning/1-high-quality-teaching" TargetMode="External"/><Relationship Id="rId13" Type="http://schemas.openxmlformats.org/officeDocument/2006/relationships/hyperlink" Target="https://www.gov.uk/government/publications/school-attendance/framework-for-securing-full-attendance-actions-for-schools-and-local-authorities" TargetMode="External"/><Relationship Id="rId18" Type="http://schemas.openxmlformats.org/officeDocument/2006/relationships/hyperlink" Target="https://www.gov.uk/free-school-transpo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rueeducationpartnerships.com/schools/what-is-ofsteds-cultural-capital/" TargetMode="External"/><Relationship Id="rId7" Type="http://schemas.openxmlformats.org/officeDocument/2006/relationships/hyperlink" Target="https://educationendowmentfoundation.org.uk/education-evidence/teaching-learning-toolkit" TargetMode="External"/><Relationship Id="rId12" Type="http://schemas.openxmlformats.org/officeDocument/2006/relationships/hyperlink" Target="https://www.gov.uk/government/publications/school-attendance/framework-for-securing-full-attendance-actions-for-schools-and-local-authorities" TargetMode="External"/><Relationship Id="rId17" Type="http://schemas.openxmlformats.org/officeDocument/2006/relationships/hyperlink" Target="https://www.gov.uk/government/publications/cost-of-school-uniforms/cost-of-school-uniform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www.trueeducationpartnerships.com/schools/what-is-ofsteds-cultural-capi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attendance/framework-for-securing-full-attendance-actions-for-schools-and-local-authoriti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homework" TargetMode="External"/><Relationship Id="rId23" Type="http://schemas.openxmlformats.org/officeDocument/2006/relationships/header" Target="header1.xml"/><Relationship Id="rId10" Type="http://schemas.openxmlformats.org/officeDocument/2006/relationships/hyperlink" Target="https://www.gov.uk/government/publications/school-attendance/framework-for-securing-full-attendance-actions-for-schools-and-local-authorities" TargetMode="External"/><Relationship Id="rId19" Type="http://schemas.openxmlformats.org/officeDocument/2006/relationships/hyperlink" Target="https://www.trueeducationpartnerships.com/schools/what-is-ofsteds-cultural-capital/"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reducing-class-size" TargetMode="External"/><Relationship Id="rId14" Type="http://schemas.openxmlformats.org/officeDocument/2006/relationships/hyperlink" Target="https://educationendowmentfoundation.org.uk/support-for-schools/school-improvement-planning/1-high-quality-teaching" TargetMode="External"/><Relationship Id="rId22"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Gavin Green</cp:lastModifiedBy>
  <cp:revision>2</cp:revision>
  <cp:lastPrinted>2014-09-17T13:26:00Z</cp:lastPrinted>
  <dcterms:created xsi:type="dcterms:W3CDTF">2022-12-14T09:58:00Z</dcterms:created>
  <dcterms:modified xsi:type="dcterms:W3CDTF">2022-12-14T09:58:00Z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